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7993" w14:textId="20944703" w:rsidR="00F36014" w:rsidRPr="00B96596" w:rsidRDefault="00F53DD7" w:rsidP="00F53DD7">
      <w:pPr>
        <w:jc w:val="both"/>
        <w:rPr>
          <w:sz w:val="24"/>
          <w:szCs w:val="24"/>
        </w:rPr>
      </w:pPr>
      <w:r w:rsidRPr="00B96596">
        <w:rPr>
          <w:sz w:val="24"/>
          <w:szCs w:val="24"/>
        </w:rPr>
        <w:t xml:space="preserve">La Gaceta </w:t>
      </w:r>
      <w:proofErr w:type="spellStart"/>
      <w:r w:rsidRPr="00B96596">
        <w:rPr>
          <w:sz w:val="24"/>
          <w:szCs w:val="24"/>
        </w:rPr>
        <w:t>Nº</w:t>
      </w:r>
      <w:proofErr w:type="spellEnd"/>
      <w:r w:rsidRPr="00B96596">
        <w:rPr>
          <w:sz w:val="24"/>
          <w:szCs w:val="24"/>
        </w:rPr>
        <w:t xml:space="preserve"> 4 — </w:t>
      </w:r>
      <w:proofErr w:type="gramStart"/>
      <w:r w:rsidRPr="00B96596">
        <w:rPr>
          <w:sz w:val="24"/>
          <w:szCs w:val="24"/>
        </w:rPr>
        <w:t>Jueves</w:t>
      </w:r>
      <w:proofErr w:type="gramEnd"/>
      <w:r w:rsidRPr="00B96596">
        <w:rPr>
          <w:sz w:val="24"/>
          <w:szCs w:val="24"/>
        </w:rPr>
        <w:t xml:space="preserve"> 12 de enero del 2023</w:t>
      </w:r>
    </w:p>
    <w:p w14:paraId="66A25465" w14:textId="77777777" w:rsidR="00B96596" w:rsidRPr="00B96596" w:rsidRDefault="00F53DD7" w:rsidP="00F53DD7">
      <w:pPr>
        <w:jc w:val="both"/>
        <w:rPr>
          <w:sz w:val="24"/>
          <w:szCs w:val="24"/>
        </w:rPr>
      </w:pPr>
      <w:r w:rsidRPr="00B96596">
        <w:rPr>
          <w:sz w:val="24"/>
          <w:szCs w:val="24"/>
        </w:rPr>
        <w:t xml:space="preserve">DIRECCIÓN GENERAL DE TRIBUTACIÓN </w:t>
      </w:r>
    </w:p>
    <w:p w14:paraId="7C2259E6" w14:textId="77777777" w:rsidR="00B96596" w:rsidRDefault="00F53DD7" w:rsidP="00F53DD7">
      <w:pPr>
        <w:jc w:val="both"/>
        <w:rPr>
          <w:sz w:val="24"/>
          <w:szCs w:val="24"/>
        </w:rPr>
      </w:pPr>
      <w:proofErr w:type="spellStart"/>
      <w:r w:rsidRPr="00B96596">
        <w:rPr>
          <w:sz w:val="24"/>
          <w:szCs w:val="24"/>
        </w:rPr>
        <w:t>N°</w:t>
      </w:r>
      <w:proofErr w:type="spellEnd"/>
      <w:r w:rsidRPr="00B96596">
        <w:rPr>
          <w:sz w:val="24"/>
          <w:szCs w:val="24"/>
        </w:rPr>
        <w:t xml:space="preserve"> DGT-R-46-2022.- Dirección General de Tributación, San José a las nueve horas quince minutos del ocho de diciembre de dos mil veintidós. </w:t>
      </w:r>
    </w:p>
    <w:p w14:paraId="7F19324C" w14:textId="04AB97C8" w:rsidR="00B96596" w:rsidRDefault="00F53DD7" w:rsidP="00B96596">
      <w:pPr>
        <w:jc w:val="center"/>
        <w:rPr>
          <w:b/>
          <w:bCs/>
          <w:sz w:val="24"/>
          <w:szCs w:val="24"/>
        </w:rPr>
      </w:pPr>
      <w:r w:rsidRPr="00B96596">
        <w:rPr>
          <w:b/>
          <w:bCs/>
          <w:sz w:val="24"/>
          <w:szCs w:val="24"/>
        </w:rPr>
        <w:t>Considerando:</w:t>
      </w:r>
    </w:p>
    <w:p w14:paraId="4203D189" w14:textId="278A48D7" w:rsidR="00B96596" w:rsidRDefault="00F53DD7" w:rsidP="00F53DD7">
      <w:pPr>
        <w:jc w:val="both"/>
        <w:rPr>
          <w:sz w:val="24"/>
          <w:szCs w:val="24"/>
        </w:rPr>
      </w:pPr>
      <w:r w:rsidRPr="00B96596">
        <w:rPr>
          <w:b/>
          <w:bCs/>
          <w:sz w:val="24"/>
          <w:szCs w:val="24"/>
        </w:rPr>
        <w:t>I.—</w:t>
      </w:r>
      <w:r w:rsidRPr="00B96596">
        <w:rPr>
          <w:sz w:val="24"/>
          <w:szCs w:val="24"/>
        </w:rPr>
        <w:t xml:space="preserve">Que el artículo 99 del Código de Normas y Procedimientos Tributarios Ley </w:t>
      </w:r>
      <w:proofErr w:type="spellStart"/>
      <w:r w:rsidRPr="00B96596">
        <w:rPr>
          <w:sz w:val="24"/>
          <w:szCs w:val="24"/>
        </w:rPr>
        <w:t>N°</w:t>
      </w:r>
      <w:proofErr w:type="spellEnd"/>
      <w:r w:rsidRPr="00B96596">
        <w:rPr>
          <w:sz w:val="24"/>
          <w:szCs w:val="24"/>
        </w:rPr>
        <w:t xml:space="preserve"> 4755, faculta a la Administración Tributaria, para dictar normas generales para los efectos de la correcta aplicación de las leyes tributarias dentro de los límites que fijen las disposiciones legales y reglamentarias pertinentes. </w:t>
      </w:r>
    </w:p>
    <w:p w14:paraId="50FE78A5" w14:textId="77777777" w:rsidR="00B96596" w:rsidRDefault="00F53DD7" w:rsidP="00F53DD7">
      <w:pPr>
        <w:jc w:val="both"/>
        <w:rPr>
          <w:sz w:val="24"/>
          <w:szCs w:val="24"/>
        </w:rPr>
      </w:pPr>
      <w:r w:rsidRPr="00B96596">
        <w:rPr>
          <w:b/>
          <w:bCs/>
          <w:sz w:val="24"/>
          <w:szCs w:val="24"/>
        </w:rPr>
        <w:t>II.—</w:t>
      </w:r>
      <w:r w:rsidRPr="00B96596">
        <w:rPr>
          <w:sz w:val="24"/>
          <w:szCs w:val="24"/>
        </w:rPr>
        <w:t xml:space="preserve">Que de conformidad con el aparte a) punto 2 del artículo 9 de la Ley </w:t>
      </w:r>
      <w:proofErr w:type="spellStart"/>
      <w:r w:rsidRPr="00B96596">
        <w:rPr>
          <w:sz w:val="24"/>
          <w:szCs w:val="24"/>
        </w:rPr>
        <w:t>N°</w:t>
      </w:r>
      <w:proofErr w:type="spellEnd"/>
      <w:r w:rsidRPr="00B96596">
        <w:rPr>
          <w:sz w:val="24"/>
          <w:szCs w:val="24"/>
        </w:rPr>
        <w:t xml:space="preserve"> 9416, Ley para Mejorar la Lucha contra el Fraude Fiscal, del 14 de diciembre de 2016, se deben definir y publicar los criterios de selección que permitan hacer uso de la información contenida en el Registro de Transparencia y Beneficiarios Finales, con la finalidad de elaborar los planes de gestión de riesgo a cargo de las áreas competentes de la Dirección General de Tributación. Para ello, la Administración Tributaria deberá publicar simultáneamente y con la misma regularidad con que se publican los criterios objetivos de fiscalización, con el fin de evaluar y diagnosticar, mediante la utilización de procesos técnicos, el riesgo de un comportamiento irregular de un grupo de contribuyentes, de manera que pueda presumirse un eventual fraude fiscal o un incumplimiento tributario formal o material de obligaciones tributarias. </w:t>
      </w:r>
    </w:p>
    <w:p w14:paraId="0A01A997" w14:textId="77777777" w:rsidR="00B96596" w:rsidRDefault="00F53DD7" w:rsidP="00F53DD7">
      <w:pPr>
        <w:jc w:val="both"/>
        <w:rPr>
          <w:sz w:val="24"/>
          <w:szCs w:val="24"/>
        </w:rPr>
      </w:pPr>
      <w:r w:rsidRPr="00B96596">
        <w:rPr>
          <w:b/>
          <w:bCs/>
          <w:sz w:val="24"/>
          <w:szCs w:val="24"/>
        </w:rPr>
        <w:t>III.—</w:t>
      </w:r>
      <w:r w:rsidRPr="00B96596">
        <w:rPr>
          <w:sz w:val="24"/>
          <w:szCs w:val="24"/>
        </w:rPr>
        <w:t xml:space="preserve">Que el Decreto Ejecutivo </w:t>
      </w:r>
      <w:proofErr w:type="spellStart"/>
      <w:r w:rsidRPr="00B96596">
        <w:rPr>
          <w:sz w:val="24"/>
          <w:szCs w:val="24"/>
        </w:rPr>
        <w:t>N°</w:t>
      </w:r>
      <w:proofErr w:type="spellEnd"/>
      <w:r w:rsidRPr="00B96596">
        <w:rPr>
          <w:sz w:val="24"/>
          <w:szCs w:val="24"/>
        </w:rPr>
        <w:t xml:space="preserve"> 41040-H, Reglamento del Registro de Transparencia y Beneficiarios Finales, estableció la participación sustantiva como la tenencia de participaciones en un porcentaje igual o mayor al 15% (quince por ciento) de la participación con respecto al capital total de la persona o estructura jurídica. </w:t>
      </w:r>
    </w:p>
    <w:p w14:paraId="62A4B619" w14:textId="77777777" w:rsidR="00B96596" w:rsidRDefault="00F53DD7" w:rsidP="00F53DD7">
      <w:pPr>
        <w:jc w:val="both"/>
        <w:rPr>
          <w:sz w:val="24"/>
          <w:szCs w:val="24"/>
        </w:rPr>
      </w:pPr>
      <w:r w:rsidRPr="00B96596">
        <w:rPr>
          <w:b/>
          <w:bCs/>
          <w:sz w:val="24"/>
          <w:szCs w:val="24"/>
        </w:rPr>
        <w:t>IV.—</w:t>
      </w:r>
      <w:r w:rsidRPr="00B96596">
        <w:rPr>
          <w:sz w:val="24"/>
          <w:szCs w:val="24"/>
        </w:rPr>
        <w:t xml:space="preserve">Que mediante resolución </w:t>
      </w:r>
      <w:proofErr w:type="spellStart"/>
      <w:r w:rsidRPr="00B96596">
        <w:rPr>
          <w:sz w:val="24"/>
          <w:szCs w:val="24"/>
        </w:rPr>
        <w:t>N°</w:t>
      </w:r>
      <w:proofErr w:type="spellEnd"/>
      <w:r w:rsidRPr="00B96596">
        <w:rPr>
          <w:sz w:val="24"/>
          <w:szCs w:val="24"/>
        </w:rPr>
        <w:t xml:space="preserve"> DGT-R-35-2021 de las ocho horas veinte minutos del veintiséis de noviembre de dos mil veintiuno, publicada en la Gaceta </w:t>
      </w:r>
      <w:proofErr w:type="spellStart"/>
      <w:r w:rsidRPr="00B96596">
        <w:rPr>
          <w:sz w:val="24"/>
          <w:szCs w:val="24"/>
        </w:rPr>
        <w:t>N°</w:t>
      </w:r>
      <w:proofErr w:type="spellEnd"/>
      <w:r w:rsidRPr="00B96596">
        <w:rPr>
          <w:sz w:val="24"/>
          <w:szCs w:val="24"/>
        </w:rPr>
        <w:t xml:space="preserve"> 239, se emitieron disposiciones para la elaboración y ejecución de planes de gestión de riesgo específicos del Registro de Transparencia y Beneficiarios Finales para ser aplicadas en el año 2022. </w:t>
      </w:r>
    </w:p>
    <w:p w14:paraId="432F9717" w14:textId="77777777" w:rsidR="00B96596" w:rsidRDefault="00F53DD7" w:rsidP="00F53DD7">
      <w:pPr>
        <w:jc w:val="both"/>
        <w:rPr>
          <w:sz w:val="24"/>
          <w:szCs w:val="24"/>
        </w:rPr>
      </w:pPr>
      <w:r w:rsidRPr="00B96596">
        <w:rPr>
          <w:b/>
          <w:bCs/>
          <w:sz w:val="24"/>
          <w:szCs w:val="24"/>
        </w:rPr>
        <w:t>V.—</w:t>
      </w:r>
      <w:r w:rsidRPr="00B96596">
        <w:rPr>
          <w:sz w:val="24"/>
          <w:szCs w:val="24"/>
        </w:rPr>
        <w:t xml:space="preserve">Que, conforme a lo anterior, resulta necesario definir los criterios para la elaboración y ejecución de planes de gestión de riesgo específicos del Registro de Transparencia y Beneficiarios Finales que se utilizarán a partir del 1 de enero del 2023. </w:t>
      </w:r>
    </w:p>
    <w:p w14:paraId="75EDF058" w14:textId="77777777" w:rsidR="00B96596" w:rsidRDefault="00F53DD7" w:rsidP="00F53DD7">
      <w:pPr>
        <w:jc w:val="both"/>
        <w:rPr>
          <w:sz w:val="24"/>
          <w:szCs w:val="24"/>
        </w:rPr>
      </w:pPr>
      <w:r w:rsidRPr="00B96596">
        <w:rPr>
          <w:b/>
          <w:bCs/>
          <w:sz w:val="24"/>
          <w:szCs w:val="24"/>
        </w:rPr>
        <w:t>VI.—</w:t>
      </w:r>
      <w:r w:rsidRPr="00B96596">
        <w:rPr>
          <w:sz w:val="24"/>
          <w:szCs w:val="24"/>
        </w:rPr>
        <w:t xml:space="preserve">Que conforme a lo dispuesto en el artículo 12 bis del Decreto Ejecutivo </w:t>
      </w:r>
      <w:proofErr w:type="spellStart"/>
      <w:r w:rsidRPr="00B96596">
        <w:rPr>
          <w:sz w:val="24"/>
          <w:szCs w:val="24"/>
        </w:rPr>
        <w:t>N°</w:t>
      </w:r>
      <w:proofErr w:type="spellEnd"/>
      <w:r w:rsidRPr="00B96596">
        <w:rPr>
          <w:sz w:val="24"/>
          <w:szCs w:val="24"/>
        </w:rPr>
        <w:t xml:space="preserve"> 37045-MP-MEIC de fecha 22 de febrero de 2012, denominado “Reglamento a la Ley de Protección al Ciudadano del Exceso de Requisitos y Trámites</w:t>
      </w:r>
      <w:r w:rsidR="00B96596">
        <w:rPr>
          <w:sz w:val="24"/>
          <w:szCs w:val="24"/>
        </w:rPr>
        <w:t xml:space="preserve"> </w:t>
      </w:r>
      <w:r w:rsidRPr="00B96596">
        <w:rPr>
          <w:sz w:val="24"/>
          <w:szCs w:val="24"/>
        </w:rPr>
        <w:t xml:space="preserve">Administrativos”, es oportuno señalar que la presente regulación no establece ni modifica trámites, requisitos o procedimientos que el administrado deba cumplir ante la Administración Central, sino que en virtud de esta </w:t>
      </w:r>
      <w:r w:rsidRPr="00B96596">
        <w:rPr>
          <w:sz w:val="24"/>
          <w:szCs w:val="24"/>
        </w:rPr>
        <w:lastRenderedPageBreak/>
        <w:t xml:space="preserve">resolución se determinan los criterios de selección para el uso de la información contenida en el Registro de Transparencia y Beneficiarios Finales en la elaboración de planes de gestión de riesgo de la Administración Tributaria, por lo anterior, se considera que la presente regulación no requiere de proceso de control previo de mejora regulatoria. </w:t>
      </w:r>
    </w:p>
    <w:p w14:paraId="2905E651" w14:textId="77777777" w:rsidR="00B96596" w:rsidRDefault="00F53DD7" w:rsidP="00F53DD7">
      <w:pPr>
        <w:jc w:val="both"/>
        <w:rPr>
          <w:sz w:val="24"/>
          <w:szCs w:val="24"/>
        </w:rPr>
      </w:pPr>
      <w:r w:rsidRPr="00B96596">
        <w:rPr>
          <w:b/>
          <w:bCs/>
          <w:sz w:val="24"/>
          <w:szCs w:val="24"/>
        </w:rPr>
        <w:t>VII.—</w:t>
      </w:r>
      <w:r w:rsidRPr="00B96596">
        <w:rPr>
          <w:sz w:val="24"/>
          <w:szCs w:val="24"/>
        </w:rPr>
        <w:t xml:space="preserve">Que de conformidad con el artículo 174 del Código de Normas y Procedimientos Tributarios, si bien la Autoridad Tributaria debe hacer del conocimiento general los proyectos normativos antes de su entrada en vigor, con el fin de exponer su parecer sobre tales proyectos, también indica que la publicación de estos puede obviarse si existen razones calificadas de interés público, las cuales tienen que consignarse en el proyecto. En este sentido, se prescinde de la consulta dispuesta en el artículo 174 ya que se estima de un elevado interés público el disponer de criterios de selección para el uso de la información contenida en el Registro de Transparencia y Beneficiarios Finales con el objeto de evaluar y diagnosticar mediante procesos técnicos, el riesgo de un comportamiento irregular de un grupo de contribuyentes de manera que se pueda detectar un presunto fraude fiscal o algún incumplimiento tributario formal o material de contribuyentes. </w:t>
      </w:r>
      <w:r w:rsidRPr="00B96596">
        <w:rPr>
          <w:b/>
          <w:bCs/>
          <w:sz w:val="24"/>
          <w:szCs w:val="24"/>
        </w:rPr>
        <w:t>Por tanto,</w:t>
      </w:r>
      <w:r w:rsidRPr="00B96596">
        <w:rPr>
          <w:sz w:val="24"/>
          <w:szCs w:val="24"/>
        </w:rPr>
        <w:t xml:space="preserve"> </w:t>
      </w:r>
    </w:p>
    <w:p w14:paraId="5000C5B7" w14:textId="77777777" w:rsidR="00B96596" w:rsidRDefault="00F53DD7" w:rsidP="00B96596">
      <w:pPr>
        <w:jc w:val="center"/>
        <w:rPr>
          <w:sz w:val="24"/>
          <w:szCs w:val="24"/>
        </w:rPr>
      </w:pPr>
      <w:r w:rsidRPr="00B96596">
        <w:rPr>
          <w:b/>
          <w:bCs/>
          <w:sz w:val="24"/>
          <w:szCs w:val="24"/>
        </w:rPr>
        <w:t>RESUELVE:</w:t>
      </w:r>
    </w:p>
    <w:p w14:paraId="512A0AF3" w14:textId="77777777" w:rsidR="00B96596" w:rsidRDefault="00F53DD7" w:rsidP="00F53DD7">
      <w:pPr>
        <w:jc w:val="both"/>
        <w:rPr>
          <w:sz w:val="24"/>
          <w:szCs w:val="24"/>
        </w:rPr>
      </w:pPr>
      <w:r w:rsidRPr="00B96596">
        <w:rPr>
          <w:sz w:val="24"/>
          <w:szCs w:val="24"/>
        </w:rPr>
        <w:t xml:space="preserve"> “Criterios de selección para el uso de la información contenida en el Registro de Transparencia y Beneficiarios Finales en la elaboración de planes de gestión de riesgo de la Administración Tributaria para el año 2023” </w:t>
      </w:r>
    </w:p>
    <w:p w14:paraId="73750485" w14:textId="48ADDDFD" w:rsidR="00F53DD7" w:rsidRPr="00B96596" w:rsidRDefault="00F53DD7" w:rsidP="00F53DD7">
      <w:pPr>
        <w:jc w:val="both"/>
        <w:rPr>
          <w:sz w:val="24"/>
          <w:szCs w:val="24"/>
        </w:rPr>
      </w:pPr>
      <w:r w:rsidRPr="00B96596">
        <w:rPr>
          <w:b/>
          <w:bCs/>
          <w:sz w:val="24"/>
          <w:szCs w:val="24"/>
        </w:rPr>
        <w:t>Artículo 1º—</w:t>
      </w:r>
      <w:r w:rsidRPr="00B96596">
        <w:rPr>
          <w:sz w:val="24"/>
          <w:szCs w:val="24"/>
        </w:rPr>
        <w:t>Para la elaboración y ejecución de planes de gestión de riesgo que rigen a partir del año 2023, se definen los siguientes criterios con el objeto de evaluar y diagnosticar mediante procesos técnicos, el riesgo de un comportamiento irregular de un grupo de contribuyentes de manera que se pueda detectar un presunto fraude fiscal o algún incumplimiento tributario formal o material:</w:t>
      </w:r>
    </w:p>
    <w:p w14:paraId="07E86240" w14:textId="77777777" w:rsidR="00B96596" w:rsidRDefault="00F53DD7" w:rsidP="00F53DD7">
      <w:pPr>
        <w:jc w:val="both"/>
        <w:rPr>
          <w:sz w:val="24"/>
          <w:szCs w:val="24"/>
        </w:rPr>
      </w:pPr>
      <w:r w:rsidRPr="00B96596">
        <w:rPr>
          <w:sz w:val="24"/>
          <w:szCs w:val="24"/>
        </w:rPr>
        <w:t xml:space="preserve">a) Cuando un sujeto obligado no presente la declaración del Registro de Transparencia y Beneficiarios Finales. </w:t>
      </w:r>
    </w:p>
    <w:p w14:paraId="27B5C698" w14:textId="77777777" w:rsidR="00B96596" w:rsidRDefault="00F53DD7" w:rsidP="00F53DD7">
      <w:pPr>
        <w:jc w:val="both"/>
        <w:rPr>
          <w:sz w:val="24"/>
          <w:szCs w:val="24"/>
        </w:rPr>
      </w:pPr>
      <w:r w:rsidRPr="00B96596">
        <w:rPr>
          <w:sz w:val="24"/>
          <w:szCs w:val="24"/>
        </w:rPr>
        <w:t xml:space="preserve">b) Cuando una persona jurídica tenga registrado un nombre comercial, debidamente inscrito en el Registro Público, pero que no tengan una actividad lucrativa registrada ante la Dirección General de Tributación. </w:t>
      </w:r>
    </w:p>
    <w:p w14:paraId="591B2328" w14:textId="77777777" w:rsidR="00B96596" w:rsidRDefault="00F53DD7" w:rsidP="00F53DD7">
      <w:pPr>
        <w:jc w:val="both"/>
        <w:rPr>
          <w:sz w:val="24"/>
          <w:szCs w:val="24"/>
        </w:rPr>
      </w:pPr>
      <w:r w:rsidRPr="00B96596">
        <w:rPr>
          <w:sz w:val="24"/>
          <w:szCs w:val="24"/>
        </w:rPr>
        <w:t xml:space="preserve">c) Cuando alguna persona jurídica reportada en el Registro de Transparencia y Beneficiarios Finales como participante, tenga bienes registrales inscritos que evidencien presuntos casos de “Incremento patrimonial” o reflejen un “Alto patrimonio”. </w:t>
      </w:r>
    </w:p>
    <w:p w14:paraId="5D958E3A" w14:textId="77777777" w:rsidR="00B96596" w:rsidRDefault="00F53DD7" w:rsidP="00F53DD7">
      <w:pPr>
        <w:jc w:val="both"/>
        <w:rPr>
          <w:sz w:val="24"/>
          <w:szCs w:val="24"/>
        </w:rPr>
      </w:pPr>
      <w:r w:rsidRPr="00B96596">
        <w:rPr>
          <w:sz w:val="24"/>
          <w:szCs w:val="24"/>
        </w:rPr>
        <w:t xml:space="preserve">d) Cuando una persona jurídica del tipo sociedad extranjera con cédula jurídica nacional (número identificador 3-012 asignado por el Registro Nacional) no presente la declaración del Registro de Transparencia y Beneficiarios Finales, pero se encuentre al día en el impuesto a las personas jurídicas (Ley 9428). </w:t>
      </w:r>
    </w:p>
    <w:p w14:paraId="7E92BBCE" w14:textId="77777777" w:rsidR="00B96596" w:rsidRDefault="00F53DD7" w:rsidP="00F53DD7">
      <w:pPr>
        <w:jc w:val="both"/>
        <w:rPr>
          <w:sz w:val="24"/>
          <w:szCs w:val="24"/>
        </w:rPr>
      </w:pPr>
      <w:r w:rsidRPr="00B96596">
        <w:rPr>
          <w:sz w:val="24"/>
          <w:szCs w:val="24"/>
        </w:rPr>
        <w:lastRenderedPageBreak/>
        <w:t xml:space="preserve">e) Cuando en una persona jurídica alguno de sus socios, esté domiciliado en una jurisdicción no cooperante o de poca o nula transparencia fiscal y financiera. </w:t>
      </w:r>
    </w:p>
    <w:p w14:paraId="38D4B683" w14:textId="77777777" w:rsidR="00B96596" w:rsidRDefault="00F53DD7" w:rsidP="00F53DD7">
      <w:pPr>
        <w:jc w:val="both"/>
        <w:rPr>
          <w:sz w:val="24"/>
          <w:szCs w:val="24"/>
        </w:rPr>
      </w:pPr>
      <w:r w:rsidRPr="00B96596">
        <w:rPr>
          <w:sz w:val="24"/>
          <w:szCs w:val="24"/>
        </w:rPr>
        <w:t>f) Cuando una persona jurídica posea como socios a personas jurídicas o estructuras jurídicas, domiciliadas en el extranjero con participación sustantiva (15% o más</w:t>
      </w:r>
      <w:r w:rsidR="00B96596">
        <w:rPr>
          <w:sz w:val="24"/>
          <w:szCs w:val="24"/>
        </w:rPr>
        <w:t xml:space="preserve"> </w:t>
      </w:r>
      <w:r w:rsidRPr="00B96596">
        <w:rPr>
          <w:sz w:val="24"/>
          <w:szCs w:val="24"/>
        </w:rPr>
        <w:t xml:space="preserve">del capital social) pero que no hayan identificado a la totalidad de su estructura societaria (de conformidad con la imposibilidad establecida en el Reglamento del Registro de Transparencia y Beneficiarios Finales). </w:t>
      </w:r>
    </w:p>
    <w:p w14:paraId="3D27F024" w14:textId="77777777" w:rsidR="00B96596" w:rsidRDefault="00F53DD7" w:rsidP="00F53DD7">
      <w:pPr>
        <w:jc w:val="both"/>
        <w:rPr>
          <w:sz w:val="24"/>
          <w:szCs w:val="24"/>
        </w:rPr>
      </w:pPr>
      <w:r w:rsidRPr="00B96596">
        <w:rPr>
          <w:sz w:val="24"/>
          <w:szCs w:val="24"/>
        </w:rPr>
        <w:t xml:space="preserve">g) Cuando una persona jurídica no determine ningún beneficiario final por participación sustantiva (mediante control directo o indirecto), sino que este se debe determinar mediante la influencia sustantiva (tener control por otros medios sobre una persona jurídica: mayoría de los derechos de voto de los accionistas, derecho a designar o cesar a la mayor parte de órganos de administración, dirección o supervisión y poseer la condición de supervisión en virtud de los estatutos). </w:t>
      </w:r>
    </w:p>
    <w:p w14:paraId="346AF7BF" w14:textId="77777777" w:rsidR="00B96596" w:rsidRDefault="00F53DD7" w:rsidP="00F53DD7">
      <w:pPr>
        <w:jc w:val="both"/>
        <w:rPr>
          <w:sz w:val="24"/>
          <w:szCs w:val="24"/>
        </w:rPr>
      </w:pPr>
      <w:r w:rsidRPr="00B96596">
        <w:rPr>
          <w:sz w:val="24"/>
          <w:szCs w:val="24"/>
        </w:rPr>
        <w:t xml:space="preserve">h) Cuando un sujeto obligado identifique dentro de sus socios a personas jurídicas interpuestas nacionales hasta un quinto nivel o mayor y que éstas últimas no sean contribuyentes. </w:t>
      </w:r>
    </w:p>
    <w:p w14:paraId="079C2777" w14:textId="77777777" w:rsidR="00B96596" w:rsidRDefault="00F53DD7" w:rsidP="00F53DD7">
      <w:pPr>
        <w:jc w:val="both"/>
        <w:rPr>
          <w:sz w:val="24"/>
          <w:szCs w:val="24"/>
        </w:rPr>
      </w:pPr>
      <w:r w:rsidRPr="00B96596">
        <w:rPr>
          <w:sz w:val="24"/>
          <w:szCs w:val="24"/>
        </w:rPr>
        <w:t xml:space="preserve">i) Cuando un sujeto obligado identifique dentro de sus participantes a personas jurídicas interpuestas con participación sustantiva, domiciliadas en un país no cooperante o de poca o nula transparencia fiscal y financiera y cuyo beneficiario final sea un costarricense o un extranjero residente. </w:t>
      </w:r>
    </w:p>
    <w:p w14:paraId="59C94D6F" w14:textId="77777777" w:rsidR="00B96596" w:rsidRDefault="00F53DD7" w:rsidP="00F53DD7">
      <w:pPr>
        <w:jc w:val="both"/>
        <w:rPr>
          <w:sz w:val="24"/>
          <w:szCs w:val="24"/>
        </w:rPr>
      </w:pPr>
      <w:r w:rsidRPr="00B96596">
        <w:rPr>
          <w:sz w:val="24"/>
          <w:szCs w:val="24"/>
        </w:rPr>
        <w:t xml:space="preserve">j) Cuando una persona física tenga participación, en 50 o más personas jurídicas. </w:t>
      </w:r>
    </w:p>
    <w:p w14:paraId="6445C75E" w14:textId="77777777" w:rsidR="00B96596" w:rsidRDefault="00F53DD7" w:rsidP="00F53DD7">
      <w:pPr>
        <w:jc w:val="both"/>
        <w:rPr>
          <w:sz w:val="24"/>
          <w:szCs w:val="24"/>
        </w:rPr>
      </w:pPr>
      <w:r w:rsidRPr="00B96596">
        <w:rPr>
          <w:sz w:val="24"/>
          <w:szCs w:val="24"/>
        </w:rPr>
        <w:t xml:space="preserve">k) Cuando un sujeto obligado declare dentro de sus participantes a alguna persona física nacional que se encuentre fallecida, o alguna persona jurídica nacional que se encuentre disuelta o a algún fideicomiso que se encuentre finalizado, al momento de haber realizado la declaración del Registro de Transparencia y Beneficiarios Finales. </w:t>
      </w:r>
    </w:p>
    <w:p w14:paraId="2FEF769F" w14:textId="77777777" w:rsidR="00B96596" w:rsidRDefault="00F53DD7" w:rsidP="00F53DD7">
      <w:pPr>
        <w:jc w:val="both"/>
        <w:rPr>
          <w:sz w:val="24"/>
          <w:szCs w:val="24"/>
        </w:rPr>
      </w:pPr>
      <w:r w:rsidRPr="00B96596">
        <w:rPr>
          <w:sz w:val="24"/>
          <w:szCs w:val="24"/>
        </w:rPr>
        <w:t xml:space="preserve">l) Cuando en más de una persona jurídica, exista una participación de una persona física que, acumulando sus participaciones a través de varias personas jurídicas interpuestas, logra alcanzar una participación sustantiva. </w:t>
      </w:r>
    </w:p>
    <w:p w14:paraId="5C7230B7" w14:textId="77777777" w:rsidR="00B96596" w:rsidRDefault="00F53DD7" w:rsidP="00F53DD7">
      <w:pPr>
        <w:jc w:val="both"/>
        <w:rPr>
          <w:sz w:val="24"/>
          <w:szCs w:val="24"/>
        </w:rPr>
      </w:pPr>
      <w:r w:rsidRPr="00B96596">
        <w:rPr>
          <w:sz w:val="24"/>
          <w:szCs w:val="24"/>
        </w:rPr>
        <w:t xml:space="preserve">m) Cuando un fideicomiso declara dentro de sus partes a un fiduciario del tipo jurídico nacional, el cual en su declaración del RTBF como sujeto obligado indica que no tiene actividad económica. </w:t>
      </w:r>
    </w:p>
    <w:p w14:paraId="29C57077" w14:textId="77777777" w:rsidR="00B96596" w:rsidRDefault="00F53DD7" w:rsidP="00F53DD7">
      <w:pPr>
        <w:jc w:val="both"/>
        <w:rPr>
          <w:sz w:val="24"/>
          <w:szCs w:val="24"/>
        </w:rPr>
      </w:pPr>
      <w:r w:rsidRPr="00B96596">
        <w:rPr>
          <w:b/>
          <w:bCs/>
          <w:sz w:val="24"/>
          <w:szCs w:val="24"/>
        </w:rPr>
        <w:t>Artículo 2º—</w:t>
      </w:r>
      <w:r w:rsidRPr="00B96596">
        <w:rPr>
          <w:sz w:val="24"/>
          <w:szCs w:val="24"/>
        </w:rPr>
        <w:t xml:space="preserve">Rige a partir del 01 de enero de 2023. </w:t>
      </w:r>
    </w:p>
    <w:p w14:paraId="611239E3" w14:textId="23C3CE13" w:rsidR="00F53DD7" w:rsidRDefault="00F53DD7" w:rsidP="00F53DD7">
      <w:pPr>
        <w:jc w:val="both"/>
      </w:pPr>
      <w:proofErr w:type="gramStart"/>
      <w:r w:rsidRPr="00B96596">
        <w:rPr>
          <w:sz w:val="24"/>
          <w:szCs w:val="24"/>
        </w:rPr>
        <w:t>Publíquese.—</w:t>
      </w:r>
      <w:proofErr w:type="gramEnd"/>
      <w:r w:rsidRPr="00B96596">
        <w:rPr>
          <w:sz w:val="24"/>
          <w:szCs w:val="24"/>
        </w:rPr>
        <w:t xml:space="preserve">Mario Ramos, Director General de Tributación.—1 vez.—O.C. </w:t>
      </w:r>
      <w:proofErr w:type="spellStart"/>
      <w:r w:rsidRPr="00B96596">
        <w:rPr>
          <w:sz w:val="24"/>
          <w:szCs w:val="24"/>
        </w:rPr>
        <w:t>Nº</w:t>
      </w:r>
      <w:proofErr w:type="spellEnd"/>
      <w:r w:rsidRPr="00B96596">
        <w:rPr>
          <w:sz w:val="24"/>
          <w:szCs w:val="24"/>
        </w:rPr>
        <w:t xml:space="preserve"> 4600066516.—Solicitud </w:t>
      </w:r>
      <w:proofErr w:type="spellStart"/>
      <w:r w:rsidRPr="00B96596">
        <w:rPr>
          <w:sz w:val="24"/>
          <w:szCs w:val="24"/>
        </w:rPr>
        <w:t>Nº</w:t>
      </w:r>
      <w:proofErr w:type="spellEnd"/>
      <w:r w:rsidRPr="00B96596">
        <w:rPr>
          <w:sz w:val="24"/>
          <w:szCs w:val="24"/>
        </w:rPr>
        <w:t xml:space="preserve"> 398652.—( IN202270293</w:t>
      </w:r>
      <w:r>
        <w:t xml:space="preserve">6 ). </w:t>
      </w:r>
    </w:p>
    <w:sectPr w:rsidR="00F53D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DD7"/>
    <w:rsid w:val="00B96596"/>
    <w:rsid w:val="00F36014"/>
    <w:rsid w:val="00F53DD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7918C"/>
  <w15:chartTrackingRefBased/>
  <w15:docId w15:val="{333A79B7-1276-4992-ABC8-FF5D00DE9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1258</Words>
  <Characters>6921</Characters>
  <Application>Microsoft Office Word</Application>
  <DocSecurity>0</DocSecurity>
  <Lines>57</Lines>
  <Paragraphs>16</Paragraphs>
  <ScaleCrop>false</ScaleCrop>
  <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 María Rodríguez Gamboa</dc:creator>
  <cp:keywords/>
  <dc:description/>
  <cp:lastModifiedBy>Flor María Rodríguez Gamboa</cp:lastModifiedBy>
  <cp:revision>2</cp:revision>
  <dcterms:created xsi:type="dcterms:W3CDTF">2023-01-12T23:00:00Z</dcterms:created>
  <dcterms:modified xsi:type="dcterms:W3CDTF">2023-01-12T23:14:00Z</dcterms:modified>
</cp:coreProperties>
</file>