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4969C" w14:textId="77777777" w:rsidR="00F54C2A" w:rsidRPr="005B2659" w:rsidRDefault="003F0D8D" w:rsidP="00F54C2A">
      <w:pPr>
        <w:pStyle w:val="Encabezado"/>
        <w:rPr>
          <w:rFonts w:ascii="Arial" w:hAnsi="Arial" w:cs="Arial"/>
          <w:sz w:val="24"/>
          <w:szCs w:val="24"/>
        </w:rPr>
      </w:pPr>
      <w:r w:rsidRPr="005B2659">
        <w:rPr>
          <w:rFonts w:ascii="Arial" w:hAnsi="Arial" w:cs="Arial"/>
          <w:sz w:val="24"/>
          <w:szCs w:val="24"/>
        </w:rPr>
        <w:t>Unidad 1</w:t>
      </w:r>
    </w:p>
    <w:p w14:paraId="1E428530" w14:textId="77777777" w:rsidR="003F0D8D" w:rsidRPr="005B2659" w:rsidRDefault="003F0D8D" w:rsidP="00F54C2A">
      <w:pPr>
        <w:pStyle w:val="Encabezado"/>
        <w:rPr>
          <w:rFonts w:ascii="Arial" w:hAnsi="Arial" w:cs="Arial"/>
          <w:sz w:val="24"/>
          <w:szCs w:val="24"/>
        </w:rPr>
      </w:pPr>
    </w:p>
    <w:p w14:paraId="78FC43D9" w14:textId="77777777" w:rsidR="00F54C2A" w:rsidRPr="005B2659" w:rsidRDefault="00F54C2A" w:rsidP="00F54C2A">
      <w:pPr>
        <w:pStyle w:val="Encabezado"/>
        <w:rPr>
          <w:rFonts w:ascii="Arial" w:hAnsi="Arial" w:cs="Arial"/>
          <w:sz w:val="24"/>
          <w:szCs w:val="24"/>
        </w:rPr>
      </w:pPr>
      <w:r w:rsidRPr="005B2659">
        <w:rPr>
          <w:rFonts w:ascii="Arial" w:hAnsi="Arial" w:cs="Arial"/>
          <w:sz w:val="24"/>
          <w:szCs w:val="24"/>
        </w:rPr>
        <w:t>Describa:</w:t>
      </w:r>
    </w:p>
    <w:p w14:paraId="00C3CBA1" w14:textId="77777777" w:rsidR="00F54C2A" w:rsidRPr="005B2659" w:rsidRDefault="00F54C2A" w:rsidP="00F54C2A">
      <w:pPr>
        <w:pStyle w:val="Encabezado"/>
        <w:rPr>
          <w:rFonts w:ascii="Arial" w:hAnsi="Arial" w:cs="Arial"/>
          <w:sz w:val="24"/>
          <w:szCs w:val="24"/>
        </w:rPr>
      </w:pPr>
    </w:p>
    <w:p w14:paraId="72679343" w14:textId="77777777" w:rsidR="00492B19" w:rsidRPr="005B2659" w:rsidRDefault="00492B19" w:rsidP="00F54C2A">
      <w:pPr>
        <w:pStyle w:val="Encabezado"/>
        <w:numPr>
          <w:ilvl w:val="0"/>
          <w:numId w:val="1"/>
        </w:numPr>
        <w:rPr>
          <w:rFonts w:ascii="Arial" w:hAnsi="Arial" w:cs="Arial"/>
          <w:sz w:val="24"/>
          <w:szCs w:val="24"/>
        </w:rPr>
      </w:pPr>
      <w:r w:rsidRPr="005B2659">
        <w:rPr>
          <w:rFonts w:ascii="Arial" w:hAnsi="Arial" w:cs="Arial"/>
          <w:sz w:val="24"/>
          <w:szCs w:val="24"/>
        </w:rPr>
        <w:t>Contenido de la Unidad 1 (temas)</w:t>
      </w:r>
    </w:p>
    <w:p w14:paraId="0A895EE4" w14:textId="77777777" w:rsidR="006F7FA5" w:rsidRPr="00E02556" w:rsidRDefault="006F7FA5" w:rsidP="006F7FA5">
      <w:pPr>
        <w:pStyle w:val="Prrafodelista"/>
        <w:numPr>
          <w:ilvl w:val="0"/>
          <w:numId w:val="1"/>
        </w:numPr>
        <w:rPr>
          <w:rFonts w:ascii="Arial" w:hAnsi="Arial" w:cs="Arial"/>
          <w:sz w:val="24"/>
          <w:szCs w:val="24"/>
        </w:rPr>
      </w:pPr>
      <w:r w:rsidRPr="00E02556">
        <w:rPr>
          <w:rFonts w:ascii="Arial" w:hAnsi="Arial" w:cs="Arial"/>
          <w:sz w:val="24"/>
          <w:szCs w:val="24"/>
        </w:rPr>
        <w:t>Hechos ilícitos tributarios</w:t>
      </w:r>
    </w:p>
    <w:p w14:paraId="5309FEE8" w14:textId="77777777" w:rsidR="006F7FA5" w:rsidRPr="00E02556" w:rsidRDefault="006F7FA5" w:rsidP="006F7FA5">
      <w:pPr>
        <w:pStyle w:val="Prrafodelista"/>
        <w:numPr>
          <w:ilvl w:val="1"/>
          <w:numId w:val="1"/>
        </w:numPr>
        <w:rPr>
          <w:rFonts w:ascii="Arial" w:hAnsi="Arial" w:cs="Arial"/>
          <w:sz w:val="24"/>
          <w:szCs w:val="24"/>
        </w:rPr>
      </w:pPr>
      <w:r w:rsidRPr="00E02556">
        <w:rPr>
          <w:rFonts w:ascii="Arial" w:hAnsi="Arial" w:cs="Arial"/>
          <w:sz w:val="24"/>
          <w:szCs w:val="24"/>
        </w:rPr>
        <w:t>Apuntes iniciales</w:t>
      </w:r>
    </w:p>
    <w:p w14:paraId="4184FF52" w14:textId="77777777" w:rsidR="006F7FA5" w:rsidRPr="00DC6788" w:rsidRDefault="006F7FA5" w:rsidP="00DC6788">
      <w:pPr>
        <w:pStyle w:val="Prrafodelista"/>
        <w:numPr>
          <w:ilvl w:val="1"/>
          <w:numId w:val="1"/>
        </w:numPr>
        <w:rPr>
          <w:rFonts w:ascii="Arial" w:hAnsi="Arial" w:cs="Arial"/>
          <w:sz w:val="24"/>
          <w:szCs w:val="24"/>
        </w:rPr>
      </w:pPr>
      <w:r w:rsidRPr="00E02556">
        <w:rPr>
          <w:rFonts w:ascii="Arial" w:hAnsi="Arial" w:cs="Arial"/>
          <w:sz w:val="24"/>
          <w:szCs w:val="24"/>
        </w:rPr>
        <w:t>Antecedentes,  fundamento legal de las sanciones</w:t>
      </w:r>
      <w:r w:rsidR="00DC6788">
        <w:rPr>
          <w:rFonts w:ascii="Arial" w:hAnsi="Arial" w:cs="Arial"/>
          <w:sz w:val="24"/>
          <w:szCs w:val="24"/>
        </w:rPr>
        <w:t xml:space="preserve">, </w:t>
      </w:r>
      <w:r w:rsidRPr="00DC6788">
        <w:rPr>
          <w:rFonts w:ascii="Arial" w:hAnsi="Arial" w:cs="Arial"/>
          <w:sz w:val="24"/>
          <w:szCs w:val="24"/>
        </w:rPr>
        <w:t>Antes y después de la Ley de Justicia Tributaria</w:t>
      </w:r>
    </w:p>
    <w:p w14:paraId="2643BBFD" w14:textId="77777777" w:rsidR="006F7FA5" w:rsidRPr="00E02556" w:rsidRDefault="006F7FA5" w:rsidP="006F7FA5">
      <w:pPr>
        <w:pStyle w:val="Prrafodelista"/>
        <w:numPr>
          <w:ilvl w:val="1"/>
          <w:numId w:val="1"/>
        </w:numPr>
        <w:rPr>
          <w:rFonts w:ascii="Arial" w:hAnsi="Arial" w:cs="Arial"/>
          <w:sz w:val="24"/>
          <w:szCs w:val="24"/>
        </w:rPr>
      </w:pPr>
      <w:r w:rsidRPr="00E02556">
        <w:rPr>
          <w:rFonts w:ascii="Arial" w:hAnsi="Arial" w:cs="Arial"/>
          <w:sz w:val="24"/>
          <w:szCs w:val="24"/>
        </w:rPr>
        <w:t>Disposiciones generales</w:t>
      </w:r>
    </w:p>
    <w:p w14:paraId="0F8FB287" w14:textId="77777777" w:rsidR="006F7FA5" w:rsidRPr="00E02556" w:rsidRDefault="006F7FA5" w:rsidP="006F7FA5">
      <w:pPr>
        <w:pStyle w:val="Prrafodelista"/>
        <w:numPr>
          <w:ilvl w:val="1"/>
          <w:numId w:val="1"/>
        </w:numPr>
        <w:rPr>
          <w:rFonts w:ascii="Arial" w:hAnsi="Arial" w:cs="Arial"/>
          <w:sz w:val="24"/>
          <w:szCs w:val="24"/>
        </w:rPr>
      </w:pPr>
      <w:r w:rsidRPr="00E02556">
        <w:rPr>
          <w:rFonts w:ascii="Arial" w:hAnsi="Arial" w:cs="Arial"/>
          <w:sz w:val="24"/>
          <w:szCs w:val="24"/>
        </w:rPr>
        <w:t>Razón de ser de las sanciones, Deberes formales y materiales.</w:t>
      </w:r>
    </w:p>
    <w:p w14:paraId="16C0A1D0" w14:textId="77777777" w:rsidR="006F7FA5" w:rsidRPr="00E02556" w:rsidRDefault="006F7FA5" w:rsidP="006F7FA5">
      <w:pPr>
        <w:pStyle w:val="Prrafodelista"/>
        <w:numPr>
          <w:ilvl w:val="1"/>
          <w:numId w:val="1"/>
        </w:numPr>
        <w:rPr>
          <w:rFonts w:ascii="Arial" w:hAnsi="Arial" w:cs="Arial"/>
          <w:sz w:val="24"/>
          <w:szCs w:val="24"/>
        </w:rPr>
      </w:pPr>
      <w:r w:rsidRPr="00E02556">
        <w:rPr>
          <w:rFonts w:ascii="Arial" w:hAnsi="Arial" w:cs="Arial"/>
          <w:sz w:val="24"/>
          <w:szCs w:val="24"/>
        </w:rPr>
        <w:t>Naturaleza jurídica de las sanciones</w:t>
      </w:r>
    </w:p>
    <w:p w14:paraId="770C67F3" w14:textId="77777777" w:rsidR="006F7FA5" w:rsidRPr="00E02556" w:rsidRDefault="006F7FA5" w:rsidP="006F7FA5">
      <w:pPr>
        <w:pStyle w:val="Prrafodelista"/>
        <w:ind w:left="1440"/>
        <w:rPr>
          <w:rFonts w:ascii="Arial" w:hAnsi="Arial" w:cs="Arial"/>
          <w:sz w:val="24"/>
          <w:szCs w:val="24"/>
        </w:rPr>
      </w:pPr>
    </w:p>
    <w:p w14:paraId="31FCC8BE" w14:textId="77777777" w:rsidR="00F54C2A" w:rsidRPr="005B2659" w:rsidRDefault="005B2659" w:rsidP="00F54C2A">
      <w:pPr>
        <w:pStyle w:val="Encabezado"/>
        <w:numPr>
          <w:ilvl w:val="0"/>
          <w:numId w:val="1"/>
        </w:numPr>
        <w:rPr>
          <w:rFonts w:ascii="Arial" w:hAnsi="Arial" w:cs="Arial"/>
          <w:sz w:val="24"/>
          <w:szCs w:val="24"/>
        </w:rPr>
      </w:pPr>
      <w:r w:rsidRPr="005B2659">
        <w:rPr>
          <w:rFonts w:ascii="Arial" w:hAnsi="Arial" w:cs="Arial"/>
          <w:sz w:val="24"/>
          <w:szCs w:val="24"/>
        </w:rPr>
        <w:t>Objeti</w:t>
      </w:r>
      <w:r w:rsidR="0001257D">
        <w:rPr>
          <w:rFonts w:ascii="Arial" w:hAnsi="Arial" w:cs="Arial"/>
          <w:sz w:val="24"/>
          <w:szCs w:val="24"/>
        </w:rPr>
        <w:t xml:space="preserve">vos: </w:t>
      </w:r>
      <w:r w:rsidRPr="005B2659">
        <w:rPr>
          <w:rFonts w:ascii="Arial" w:hAnsi="Arial" w:cs="Arial"/>
          <w:sz w:val="24"/>
          <w:szCs w:val="24"/>
        </w:rPr>
        <w:t>Comprender los conceptos f</w:t>
      </w:r>
      <w:r w:rsidR="006F7FA5">
        <w:rPr>
          <w:rFonts w:ascii="Arial" w:hAnsi="Arial" w:cs="Arial"/>
          <w:sz w:val="24"/>
          <w:szCs w:val="24"/>
        </w:rPr>
        <w:t>undamentales que constituyen los deberes formales y material.</w:t>
      </w:r>
    </w:p>
    <w:p w14:paraId="49ADF76A" w14:textId="77777777" w:rsidR="005B2659" w:rsidRPr="0099108E" w:rsidRDefault="003F0D8D" w:rsidP="005B2659">
      <w:pPr>
        <w:pStyle w:val="Encabezado"/>
        <w:numPr>
          <w:ilvl w:val="0"/>
          <w:numId w:val="1"/>
        </w:numPr>
        <w:rPr>
          <w:rFonts w:ascii="Arial" w:hAnsi="Arial" w:cs="Arial"/>
          <w:sz w:val="24"/>
          <w:szCs w:val="24"/>
        </w:rPr>
      </w:pPr>
      <w:r w:rsidRPr="0099108E">
        <w:rPr>
          <w:rFonts w:ascii="Arial" w:hAnsi="Arial" w:cs="Arial"/>
          <w:sz w:val="24"/>
          <w:szCs w:val="24"/>
        </w:rPr>
        <w:t>Material didáctico</w:t>
      </w:r>
    </w:p>
    <w:p w14:paraId="31F987E8" w14:textId="77777777" w:rsidR="006F7FA5" w:rsidRPr="004B0ED3" w:rsidRDefault="006F7FA5" w:rsidP="006F7FA5">
      <w:pPr>
        <w:pStyle w:val="NormalWeb"/>
        <w:shd w:val="clear" w:color="auto" w:fill="FFFFFF"/>
        <w:spacing w:before="0" w:beforeAutospacing="0" w:after="0" w:afterAutospacing="0"/>
        <w:ind w:left="720"/>
        <w:jc w:val="both"/>
        <w:rPr>
          <w:rStyle w:val="Hipervnculo"/>
          <w:rFonts w:ascii="Arial" w:hAnsi="Arial" w:cs="Arial"/>
          <w:b/>
          <w:bCs/>
          <w:color w:val="0088CC"/>
        </w:rPr>
      </w:pPr>
      <w:hyperlink r:id="rId7" w:history="1">
        <w:proofErr w:type="spellStart"/>
        <w:r w:rsidRPr="004B0ED3">
          <w:rPr>
            <w:rStyle w:val="Hipervnculo"/>
            <w:rFonts w:ascii="Arial" w:hAnsi="Arial" w:cs="Arial"/>
            <w:b/>
            <w:bCs/>
            <w:color w:val="0088CC"/>
          </w:rPr>
          <w:t>N°</w:t>
        </w:r>
        <w:proofErr w:type="spellEnd"/>
        <w:r w:rsidRPr="004B0ED3">
          <w:rPr>
            <w:rStyle w:val="Hipervnculo"/>
            <w:rFonts w:ascii="Arial" w:hAnsi="Arial" w:cs="Arial"/>
            <w:b/>
            <w:bCs/>
            <w:color w:val="0088CC"/>
          </w:rPr>
          <w:t xml:space="preserve"> 4755 Código de Normas y Procedimientos Tributarios</w:t>
        </w:r>
      </w:hyperlink>
    </w:p>
    <w:p w14:paraId="4CDFA66C" w14:textId="77777777" w:rsidR="006F7FA5" w:rsidRDefault="006F7FA5" w:rsidP="006F7FA5">
      <w:pPr>
        <w:pStyle w:val="Encabezado"/>
        <w:ind w:left="720"/>
        <w:rPr>
          <w:rFonts w:ascii="Arial" w:hAnsi="Arial" w:cs="Arial"/>
          <w:sz w:val="24"/>
          <w:szCs w:val="24"/>
        </w:rPr>
      </w:pPr>
    </w:p>
    <w:p w14:paraId="3B006097" w14:textId="77777777" w:rsidR="005B2659" w:rsidRPr="005B2659" w:rsidRDefault="005B2659" w:rsidP="005B2659">
      <w:pPr>
        <w:pStyle w:val="Encabezado"/>
        <w:numPr>
          <w:ilvl w:val="0"/>
          <w:numId w:val="1"/>
        </w:numPr>
        <w:rPr>
          <w:rFonts w:ascii="Arial" w:hAnsi="Arial" w:cs="Arial"/>
          <w:sz w:val="24"/>
          <w:szCs w:val="24"/>
        </w:rPr>
      </w:pPr>
      <w:r w:rsidRPr="005B2659">
        <w:rPr>
          <w:rFonts w:ascii="Arial" w:hAnsi="Arial" w:cs="Arial"/>
          <w:sz w:val="24"/>
          <w:szCs w:val="24"/>
        </w:rPr>
        <w:t>Actividades: Realizar un ensayo.</w:t>
      </w:r>
      <w:r>
        <w:rPr>
          <w:rFonts w:ascii="Arial" w:hAnsi="Arial" w:cs="Arial"/>
          <w:sz w:val="24"/>
          <w:szCs w:val="24"/>
        </w:rPr>
        <w:t xml:space="preserve"> PO</w:t>
      </w:r>
      <w:r w:rsidR="006F7FA5">
        <w:rPr>
          <w:rFonts w:ascii="Arial" w:hAnsi="Arial" w:cs="Arial"/>
          <w:sz w:val="24"/>
          <w:szCs w:val="24"/>
        </w:rPr>
        <w:t>RCENTAJE 20</w:t>
      </w:r>
      <w:r>
        <w:rPr>
          <w:rFonts w:ascii="Arial" w:hAnsi="Arial" w:cs="Arial"/>
          <w:sz w:val="24"/>
          <w:szCs w:val="24"/>
        </w:rPr>
        <w:t>%</w:t>
      </w:r>
      <w:r w:rsidR="006F7FA5">
        <w:rPr>
          <w:rFonts w:ascii="Arial" w:hAnsi="Arial" w:cs="Arial"/>
          <w:sz w:val="24"/>
          <w:szCs w:val="24"/>
        </w:rPr>
        <w:t>, el trabajo escrito tiene un valor de 15% y la comprobación oral en clase 5%, la cual se realiza dentro de los primeros 15 minutos iniciales de cada clase.</w:t>
      </w:r>
    </w:p>
    <w:p w14:paraId="18865527" w14:textId="77777777" w:rsidR="005B2659" w:rsidRPr="0001257D" w:rsidRDefault="005B2659" w:rsidP="0001257D">
      <w:pPr>
        <w:pStyle w:val="Prrafodelista"/>
        <w:numPr>
          <w:ilvl w:val="0"/>
          <w:numId w:val="1"/>
        </w:numPr>
        <w:jc w:val="both"/>
        <w:rPr>
          <w:rFonts w:ascii="Arial" w:hAnsi="Arial" w:cs="Arial"/>
          <w:sz w:val="24"/>
          <w:szCs w:val="24"/>
        </w:rPr>
      </w:pPr>
      <w:r w:rsidRPr="005B2659">
        <w:rPr>
          <w:rFonts w:ascii="Arial" w:hAnsi="Arial" w:cs="Arial"/>
          <w:sz w:val="24"/>
          <w:szCs w:val="24"/>
        </w:rPr>
        <w:t xml:space="preserve">El objetivo del ensayo es realizar previamente un trabajo de investigación simple, por lo que el estudiante debe ingresar a la página electrónica </w:t>
      </w:r>
      <w:hyperlink r:id="rId8" w:history="1">
        <w:r w:rsidRPr="005B2659">
          <w:rPr>
            <w:rStyle w:val="Hipervnculo"/>
            <w:rFonts w:ascii="Arial" w:hAnsi="Arial" w:cs="Arial"/>
            <w:sz w:val="24"/>
            <w:szCs w:val="24"/>
          </w:rPr>
          <w:t>http://www.pgrweb.go.cr/scij/</w:t>
        </w:r>
      </w:hyperlink>
      <w:r w:rsidRPr="005B2659">
        <w:rPr>
          <w:rFonts w:ascii="Arial" w:hAnsi="Arial" w:cs="Arial"/>
          <w:sz w:val="24"/>
          <w:szCs w:val="24"/>
        </w:rPr>
        <w:t xml:space="preserve"> </w:t>
      </w:r>
      <w:r w:rsidR="0001257D">
        <w:rPr>
          <w:rFonts w:ascii="Arial" w:hAnsi="Arial" w:cs="Arial"/>
          <w:sz w:val="24"/>
          <w:szCs w:val="24"/>
        </w:rPr>
        <w:t>d</w:t>
      </w:r>
      <w:r w:rsidRPr="0001257D">
        <w:rPr>
          <w:rFonts w:ascii="Arial" w:hAnsi="Arial" w:cs="Arial"/>
          <w:sz w:val="24"/>
          <w:szCs w:val="24"/>
        </w:rPr>
        <w:t>el Sistema Costarricense de Información Jurídica, en el cual puede observar varías viñetas en la parte superior de la página, al ingresar en la viñeta denominada “HACIENDA”, debe ingresar a la búsqueda libre, para consultar sobre el tema del ensayo semanal, elegir una directriz o resolución dictada por la Dirección General de Tributación sobre el tema, luego elegir una resolución del Tribunal Fiscal Administrativo que desarrolle el tema resuelto por la Dirección General de Tributación.  Luego debe ingresar a la viñeta del Poder Judicial y en la búsqueda libre, consultar preferiblemente sobre una resolución de la Sala Primera sobre el tema, de ser necesario o no existir resolución sobre tema de la Sala Primera de la Corte Suprema de Justicia, puede utilizar una resolución de cualquiera de las secciones del Tribunal Contencioso Administrativo.</w:t>
      </w:r>
    </w:p>
    <w:p w14:paraId="747D79E7" w14:textId="77777777" w:rsidR="005B2659" w:rsidRDefault="005B2659" w:rsidP="008C5E6D">
      <w:pPr>
        <w:pStyle w:val="Prrafodelista"/>
        <w:numPr>
          <w:ilvl w:val="0"/>
          <w:numId w:val="1"/>
        </w:numPr>
        <w:jc w:val="both"/>
        <w:rPr>
          <w:rFonts w:ascii="Arial" w:hAnsi="Arial" w:cs="Arial"/>
          <w:sz w:val="24"/>
          <w:szCs w:val="24"/>
        </w:rPr>
      </w:pPr>
      <w:r w:rsidRPr="005B2659">
        <w:rPr>
          <w:rFonts w:ascii="Arial" w:hAnsi="Arial" w:cs="Arial"/>
          <w:sz w:val="24"/>
          <w:szCs w:val="24"/>
        </w:rPr>
        <w:t xml:space="preserve">Una vez que tiene los tres documentos, debe realizar un ensayo que contenga un resumen ejecutivo de los tres criterios vertidos y luego una valoración crítica a favor o en contra de lo resuelto por las diferentes instancias. </w:t>
      </w:r>
    </w:p>
    <w:p w14:paraId="0CBA90BA" w14:textId="77777777" w:rsidR="003F0D8D" w:rsidRPr="005B2659" w:rsidRDefault="005B2659" w:rsidP="008C5E6D">
      <w:pPr>
        <w:pStyle w:val="Prrafodelista"/>
        <w:numPr>
          <w:ilvl w:val="0"/>
          <w:numId w:val="1"/>
        </w:numPr>
        <w:jc w:val="both"/>
        <w:rPr>
          <w:rFonts w:ascii="Arial" w:hAnsi="Arial" w:cs="Arial"/>
          <w:sz w:val="24"/>
          <w:szCs w:val="24"/>
        </w:rPr>
      </w:pPr>
      <w:r w:rsidRPr="005B2659">
        <w:rPr>
          <w:rFonts w:ascii="Arial" w:hAnsi="Arial" w:cs="Arial"/>
          <w:sz w:val="24"/>
          <w:szCs w:val="24"/>
        </w:rPr>
        <w:lastRenderedPageBreak/>
        <w:t>El trabajo debe presentar</w:t>
      </w:r>
      <w:r>
        <w:rPr>
          <w:rFonts w:ascii="Arial" w:hAnsi="Arial" w:cs="Arial"/>
          <w:sz w:val="24"/>
          <w:szCs w:val="24"/>
        </w:rPr>
        <w:t>se</w:t>
      </w:r>
      <w:r w:rsidRPr="005B2659">
        <w:rPr>
          <w:rFonts w:ascii="Arial" w:hAnsi="Arial" w:cs="Arial"/>
          <w:sz w:val="24"/>
          <w:szCs w:val="24"/>
        </w:rPr>
        <w:t xml:space="preserve"> en el campus virtual, en el plazo de que indique, en un archivo en formato Word, los tres documentos y el ensayo (este último no debe superar dos páginas, ni ser menor a una)</w:t>
      </w:r>
    </w:p>
    <w:p w14:paraId="6C4EE225" w14:textId="77777777" w:rsidR="00492B19" w:rsidRPr="005B2659" w:rsidRDefault="00492B19" w:rsidP="005B2659">
      <w:pPr>
        <w:pStyle w:val="Encabezado"/>
        <w:jc w:val="both"/>
        <w:rPr>
          <w:rFonts w:ascii="Arial" w:hAnsi="Arial" w:cs="Arial"/>
          <w:sz w:val="24"/>
          <w:szCs w:val="24"/>
        </w:rPr>
      </w:pPr>
    </w:p>
    <w:p w14:paraId="29469696" w14:textId="77777777" w:rsidR="00F54C2A" w:rsidRPr="005B2659" w:rsidRDefault="00F54C2A" w:rsidP="005B2659">
      <w:pPr>
        <w:jc w:val="both"/>
        <w:rPr>
          <w:rFonts w:ascii="Arial" w:hAnsi="Arial" w:cs="Arial"/>
          <w:sz w:val="24"/>
          <w:szCs w:val="24"/>
        </w:rPr>
      </w:pPr>
    </w:p>
    <w:sectPr w:rsidR="00F54C2A" w:rsidRPr="005B2659" w:rsidSect="00F54C2A">
      <w:headerReference w:type="default" r:id="rId9"/>
      <w:pgSz w:w="12240" w:h="15840"/>
      <w:pgMar w:top="1417" w:right="1701" w:bottom="1417"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6FD10A" w14:textId="77777777" w:rsidR="000A6B74" w:rsidRDefault="000A6B74" w:rsidP="00F54C2A">
      <w:pPr>
        <w:spacing w:after="0" w:line="240" w:lineRule="auto"/>
      </w:pPr>
      <w:r>
        <w:separator/>
      </w:r>
    </w:p>
  </w:endnote>
  <w:endnote w:type="continuationSeparator" w:id="0">
    <w:p w14:paraId="026A66C0" w14:textId="77777777" w:rsidR="000A6B74" w:rsidRDefault="000A6B74" w:rsidP="00F5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4AF99" w14:textId="77777777" w:rsidR="000A6B74" w:rsidRDefault="000A6B74" w:rsidP="00F54C2A">
      <w:pPr>
        <w:spacing w:after="0" w:line="240" w:lineRule="auto"/>
      </w:pPr>
      <w:r>
        <w:separator/>
      </w:r>
    </w:p>
  </w:footnote>
  <w:footnote w:type="continuationSeparator" w:id="0">
    <w:p w14:paraId="72FF0DF3" w14:textId="77777777" w:rsidR="000A6B74" w:rsidRDefault="000A6B74" w:rsidP="00F5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46E47" w14:textId="77777777" w:rsidR="00F54C2A" w:rsidRDefault="00F54C2A" w:rsidP="00F54C2A">
    <w:pPr>
      <w:pStyle w:val="Encabezado"/>
      <w:jc w:val="right"/>
    </w:pPr>
    <w:r>
      <w:rPr>
        <w:noProof/>
        <w:lang w:val="es-ES" w:eastAsia="es-ES"/>
      </w:rPr>
      <w:drawing>
        <wp:inline distT="0" distB="0" distL="0" distR="0" wp14:anchorId="274053E2" wp14:editId="69DECDDB">
          <wp:extent cx="1410030" cy="569922"/>
          <wp:effectExtent l="0" t="0" r="0" b="190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ci-png.png"/>
                  <pic:cNvPicPr/>
                </pic:nvPicPr>
                <pic:blipFill>
                  <a:blip r:embed="rId1">
                    <a:extLst>
                      <a:ext uri="{28A0092B-C50C-407E-A947-70E740481C1C}">
                        <a14:useLocalDpi xmlns:a14="http://schemas.microsoft.com/office/drawing/2010/main" val="0"/>
                      </a:ext>
                    </a:extLst>
                  </a:blip>
                  <a:stretch>
                    <a:fillRect/>
                  </a:stretch>
                </pic:blipFill>
                <pic:spPr>
                  <a:xfrm>
                    <a:off x="0" y="0"/>
                    <a:ext cx="1410397" cy="5700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11.25pt;height:11.25pt" o:bullet="t">
        <v:imagedata r:id="rId1" o:title="mso6942"/>
      </v:shape>
    </w:pict>
  </w:numPicBullet>
  <w:abstractNum w:abstractNumId="0" w15:restartNumberingAfterBreak="0">
    <w:nsid w:val="1CE77741"/>
    <w:multiLevelType w:val="hybridMultilevel"/>
    <w:tmpl w:val="7B68E178"/>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2D8632CF"/>
    <w:multiLevelType w:val="multilevel"/>
    <w:tmpl w:val="10A8580C"/>
    <w:lvl w:ilvl="0">
      <w:start w:val="1"/>
      <w:numFmt w:val="decimal"/>
      <w:lvlText w:val="%1."/>
      <w:lvlJc w:val="left"/>
      <w:pPr>
        <w:ind w:left="720" w:hanging="360"/>
      </w:pPr>
    </w:lvl>
    <w:lvl w:ilvl="1">
      <w:start w:val="1"/>
      <w:numFmt w:val="decimal"/>
      <w:isLgl/>
      <w:lvlText w:val="%1.%2."/>
      <w:lvlJc w:val="left"/>
      <w:pPr>
        <w:ind w:left="1215" w:hanging="495"/>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3A3E1FC0"/>
    <w:multiLevelType w:val="multilevel"/>
    <w:tmpl w:val="69DA6CBC"/>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 w15:restartNumberingAfterBreak="0">
    <w:nsid w:val="48CE3A59"/>
    <w:multiLevelType w:val="multilevel"/>
    <w:tmpl w:val="5FCEBF3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4" w15:restartNumberingAfterBreak="0">
    <w:nsid w:val="50452552"/>
    <w:multiLevelType w:val="hybridMultilevel"/>
    <w:tmpl w:val="CA1053AC"/>
    <w:lvl w:ilvl="0" w:tplc="140A0007">
      <w:start w:val="1"/>
      <w:numFmt w:val="bullet"/>
      <w:lvlText w:val=""/>
      <w:lvlPicBulletId w:val="0"/>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6BD5709"/>
    <w:multiLevelType w:val="hybridMultilevel"/>
    <w:tmpl w:val="8E6C4F4E"/>
    <w:lvl w:ilvl="0" w:tplc="DFEAA71C">
      <w:start w:val="1"/>
      <w:numFmt w:val="decimal"/>
      <w:lvlText w:val="%1."/>
      <w:lvlJc w:val="left"/>
      <w:pPr>
        <w:ind w:left="720" w:hanging="360"/>
      </w:pPr>
      <w:rPr>
        <w:rFonts w:hint="default"/>
        <w:b w:val="0"/>
        <w:color w:val="6F6F6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C27"/>
    <w:rsid w:val="0001257D"/>
    <w:rsid w:val="00071B16"/>
    <w:rsid w:val="000A6B74"/>
    <w:rsid w:val="00240250"/>
    <w:rsid w:val="003D4738"/>
    <w:rsid w:val="003F0D8D"/>
    <w:rsid w:val="0044351C"/>
    <w:rsid w:val="00492B19"/>
    <w:rsid w:val="004F72BB"/>
    <w:rsid w:val="005B2659"/>
    <w:rsid w:val="006F7FA5"/>
    <w:rsid w:val="00766672"/>
    <w:rsid w:val="007C51D0"/>
    <w:rsid w:val="007F36A3"/>
    <w:rsid w:val="008D5C27"/>
    <w:rsid w:val="0099108E"/>
    <w:rsid w:val="00B40C56"/>
    <w:rsid w:val="00D03D49"/>
    <w:rsid w:val="00D802B4"/>
    <w:rsid w:val="00DC6788"/>
    <w:rsid w:val="00E900B1"/>
    <w:rsid w:val="00F54C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23606"/>
  <w15:docId w15:val="{42A4F17C-7782-4BB0-A770-55726405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54C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2A"/>
  </w:style>
  <w:style w:type="paragraph" w:styleId="Piedepgina">
    <w:name w:val="footer"/>
    <w:basedOn w:val="Normal"/>
    <w:link w:val="PiedepginaCar"/>
    <w:uiPriority w:val="99"/>
    <w:unhideWhenUsed/>
    <w:rsid w:val="00F54C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2A"/>
  </w:style>
  <w:style w:type="paragraph" w:styleId="Textodeglobo">
    <w:name w:val="Balloon Text"/>
    <w:basedOn w:val="Normal"/>
    <w:link w:val="TextodegloboCar"/>
    <w:uiPriority w:val="99"/>
    <w:semiHidden/>
    <w:unhideWhenUsed/>
    <w:rsid w:val="00F54C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4C2A"/>
    <w:rPr>
      <w:rFonts w:ascii="Tahoma" w:hAnsi="Tahoma" w:cs="Tahoma"/>
      <w:sz w:val="16"/>
      <w:szCs w:val="16"/>
    </w:rPr>
  </w:style>
  <w:style w:type="paragraph" w:styleId="Prrafodelista">
    <w:name w:val="List Paragraph"/>
    <w:basedOn w:val="Normal"/>
    <w:uiPriority w:val="34"/>
    <w:qFormat/>
    <w:rsid w:val="003F0D8D"/>
    <w:pPr>
      <w:ind w:left="720"/>
      <w:contextualSpacing/>
    </w:pPr>
  </w:style>
  <w:style w:type="character" w:styleId="Hipervnculo">
    <w:name w:val="Hyperlink"/>
    <w:basedOn w:val="Fuentedeprrafopredeter"/>
    <w:uiPriority w:val="99"/>
    <w:unhideWhenUsed/>
    <w:rsid w:val="005B2659"/>
    <w:rPr>
      <w:color w:val="0000FF" w:themeColor="hyperlink"/>
      <w:u w:val="single"/>
    </w:rPr>
  </w:style>
  <w:style w:type="paragraph" w:styleId="NormalWeb">
    <w:name w:val="Normal (Web)"/>
    <w:basedOn w:val="Normal"/>
    <w:uiPriority w:val="99"/>
    <w:unhideWhenUsed/>
    <w:rsid w:val="005B2659"/>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rweb.go.cr/scij/" TargetMode="External"/><Relationship Id="rId3" Type="http://schemas.openxmlformats.org/officeDocument/2006/relationships/settings" Target="settings.xml"/><Relationship Id="rId7" Type="http://schemas.openxmlformats.org/officeDocument/2006/relationships/hyperlink" Target="http://www.pgrweb.go.cr/scij/Busqueda/Normativa/Normas/nrm_texto_completo.aspx?param1=NRTC&amp;param2=1&amp;nValor1=1&amp;nValor2=6530&amp;nValor3=89974&amp;strTipM=TC&amp;lResultado=2&amp;nValor4=11&amp;strSelect=s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2040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Yoannia Arean</dc:creator>
  <cp:keywords/>
  <dc:description/>
  <cp:lastModifiedBy>UCI</cp:lastModifiedBy>
  <cp:revision>2</cp:revision>
  <dcterms:created xsi:type="dcterms:W3CDTF">2020-10-29T18:20:00Z</dcterms:created>
  <dcterms:modified xsi:type="dcterms:W3CDTF">2020-10-29T18:20:00Z</dcterms:modified>
</cp:coreProperties>
</file>