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33A63" w14:textId="77777777" w:rsidR="00F51661" w:rsidRPr="000970D2" w:rsidRDefault="00F51661" w:rsidP="000970D2">
      <w:pPr>
        <w:jc w:val="center"/>
        <w:rPr>
          <w:rFonts w:ascii="Arial" w:eastAsia="Times New Roman" w:hAnsi="Arial" w:cs="Arial"/>
          <w:b/>
          <w:bCs/>
          <w:color w:val="707173"/>
          <w:sz w:val="23"/>
          <w:szCs w:val="23"/>
          <w:lang w:val="es-ES"/>
        </w:rPr>
      </w:pPr>
      <w:bookmarkStart w:id="0" w:name="_Toc106885890"/>
    </w:p>
    <w:p w14:paraId="5A9C2FDA" w14:textId="5E2D71E6" w:rsidR="00F51661" w:rsidRPr="000970D2" w:rsidRDefault="000970D2" w:rsidP="000970D2">
      <w:pPr>
        <w:jc w:val="center"/>
        <w:rPr>
          <w:rFonts w:ascii="Arial" w:eastAsia="Times New Roman" w:hAnsi="Arial" w:cs="Arial"/>
          <w:b/>
          <w:bCs/>
          <w:color w:val="707173"/>
          <w:sz w:val="23"/>
          <w:szCs w:val="23"/>
          <w:lang w:val="es-ES"/>
        </w:rPr>
      </w:pPr>
      <w:r w:rsidRPr="000970D2">
        <w:rPr>
          <w:rFonts w:ascii="Arial" w:eastAsia="Times New Roman" w:hAnsi="Arial" w:cs="Arial"/>
          <w:b/>
          <w:bCs/>
          <w:color w:val="707173"/>
          <w:sz w:val="23"/>
          <w:szCs w:val="23"/>
          <w:lang w:val="es-ES"/>
        </w:rPr>
        <w:t>La Gaceta 118 del 242 de junio de 2022</w:t>
      </w:r>
    </w:p>
    <w:p w14:paraId="41363C9B" w14:textId="77777777" w:rsidR="00F51661" w:rsidRPr="000970D2" w:rsidRDefault="00F51661" w:rsidP="000970D2">
      <w:pPr>
        <w:jc w:val="center"/>
        <w:rPr>
          <w:rFonts w:ascii="Arial" w:eastAsia="Times New Roman" w:hAnsi="Arial" w:cs="Arial"/>
          <w:b/>
          <w:bCs/>
          <w:color w:val="707173"/>
          <w:sz w:val="23"/>
          <w:szCs w:val="23"/>
          <w:lang w:val="es-ES"/>
        </w:rPr>
      </w:pPr>
    </w:p>
    <w:p w14:paraId="598B7E24" w14:textId="34E49BB5" w:rsidR="00F51661" w:rsidRPr="00F51661" w:rsidRDefault="00F51661" w:rsidP="000970D2">
      <w:pPr>
        <w:jc w:val="center"/>
        <w:rPr>
          <w:rFonts w:ascii="Arial" w:eastAsia="Times New Roman" w:hAnsi="Arial" w:cs="Arial"/>
          <w:b/>
          <w:bCs/>
          <w:color w:val="707173"/>
          <w:sz w:val="23"/>
          <w:szCs w:val="23"/>
          <w:lang w:val="es-ES"/>
        </w:rPr>
      </w:pPr>
      <w:r w:rsidRPr="00F51661">
        <w:rPr>
          <w:rFonts w:ascii="Arial" w:eastAsia="Times New Roman" w:hAnsi="Arial" w:cs="Arial"/>
          <w:b/>
          <w:bCs/>
          <w:color w:val="707173"/>
          <w:sz w:val="23"/>
          <w:szCs w:val="23"/>
          <w:lang w:val="es-ES"/>
        </w:rPr>
        <w:t>HACIENDA</w:t>
      </w:r>
      <w:bookmarkEnd w:id="0"/>
    </w:p>
    <w:p w14:paraId="5773109B" w14:textId="77777777" w:rsidR="00F51661" w:rsidRPr="00F51661" w:rsidRDefault="00F51661" w:rsidP="00F51661">
      <w:pPr>
        <w:jc w:val="center"/>
        <w:rPr>
          <w:rFonts w:ascii="Arial" w:eastAsia="Times New Roman" w:hAnsi="Arial" w:cs="Arial"/>
          <w:color w:val="707173"/>
          <w:sz w:val="23"/>
          <w:szCs w:val="23"/>
          <w:lang w:val="es-ES"/>
        </w:rPr>
      </w:pPr>
      <w:r w:rsidRPr="00F51661">
        <w:rPr>
          <w:rFonts w:ascii="Arial" w:eastAsia="Times New Roman" w:hAnsi="Arial" w:cs="Arial"/>
          <w:b/>
          <w:bCs/>
          <w:color w:val="707173"/>
          <w:sz w:val="23"/>
          <w:szCs w:val="23"/>
          <w:lang w:val="es-ES"/>
        </w:rPr>
        <w:t>DIRECCIÓN GENERAL DE HACIENDA</w:t>
      </w:r>
    </w:p>
    <w:p w14:paraId="7F310FC9" w14:textId="77777777" w:rsidR="00F51661" w:rsidRDefault="00F51661" w:rsidP="00F51661">
      <w:pPr>
        <w:rPr>
          <w:rFonts w:ascii="Arial" w:eastAsia="Times New Roman" w:hAnsi="Arial" w:cs="Arial"/>
          <w:color w:val="707173"/>
          <w:spacing w:val="-2"/>
          <w:sz w:val="23"/>
          <w:szCs w:val="23"/>
          <w:lang w:val="es-ES"/>
        </w:rPr>
      </w:pPr>
    </w:p>
    <w:p w14:paraId="7450E8DD" w14:textId="183797D8" w:rsidR="00F51661" w:rsidRDefault="00F51661" w:rsidP="000970D2">
      <w:pPr>
        <w:jc w:val="both"/>
        <w:rPr>
          <w:rFonts w:ascii="Arial" w:eastAsia="Times New Roman" w:hAnsi="Arial" w:cs="Arial"/>
          <w:color w:val="707173"/>
          <w:spacing w:val="-2"/>
          <w:sz w:val="23"/>
          <w:szCs w:val="23"/>
          <w:lang w:val="es-ES"/>
        </w:rPr>
      </w:pPr>
      <w:r w:rsidRPr="00F51661">
        <w:rPr>
          <w:rFonts w:ascii="Arial" w:eastAsia="Times New Roman" w:hAnsi="Arial" w:cs="Arial"/>
          <w:color w:val="707173"/>
          <w:spacing w:val="-2"/>
          <w:sz w:val="23"/>
          <w:szCs w:val="23"/>
          <w:lang w:val="es-ES"/>
        </w:rPr>
        <w:t>Resolución RES-DGH-026-2022/RES-DGA-187-2022.—Dirección General de Hacienda y la Dirección General de Aduanas. Ministerio de Hacienda.—San José, a las ocho horas y cincuenta y cinco minutos del día dieciséis de junio de dos mil veintidós.</w:t>
      </w:r>
    </w:p>
    <w:p w14:paraId="27C8FCD5" w14:textId="77777777" w:rsidR="00F51661" w:rsidRPr="00F51661" w:rsidRDefault="00F51661" w:rsidP="000970D2">
      <w:pPr>
        <w:jc w:val="both"/>
        <w:rPr>
          <w:rFonts w:ascii="Arial" w:eastAsia="Times New Roman" w:hAnsi="Arial" w:cs="Arial"/>
          <w:color w:val="707173"/>
          <w:sz w:val="23"/>
          <w:szCs w:val="23"/>
          <w:lang w:val="es-ES"/>
        </w:rPr>
      </w:pPr>
    </w:p>
    <w:p w14:paraId="5F026F54" w14:textId="710925AD" w:rsidR="00F51661" w:rsidRDefault="00F51661" w:rsidP="000970D2">
      <w:pPr>
        <w:jc w:val="both"/>
        <w:rPr>
          <w:rFonts w:ascii="Arial" w:eastAsia="Times New Roman" w:hAnsi="Arial" w:cs="Arial"/>
          <w:b/>
          <w:bCs/>
          <w:color w:val="707173"/>
          <w:sz w:val="23"/>
          <w:szCs w:val="23"/>
          <w:lang w:val="es-ES"/>
        </w:rPr>
      </w:pPr>
      <w:r w:rsidRPr="00F51661">
        <w:rPr>
          <w:rFonts w:ascii="Arial" w:eastAsia="Times New Roman" w:hAnsi="Arial" w:cs="Arial"/>
          <w:b/>
          <w:bCs/>
          <w:color w:val="707173"/>
          <w:sz w:val="23"/>
          <w:szCs w:val="23"/>
          <w:lang w:val="es-ES"/>
        </w:rPr>
        <w:t>Considerando:</w:t>
      </w:r>
    </w:p>
    <w:p w14:paraId="06F74A93" w14:textId="77777777" w:rsidR="000970D2" w:rsidRPr="00F51661" w:rsidRDefault="000970D2" w:rsidP="000970D2">
      <w:pPr>
        <w:jc w:val="both"/>
        <w:rPr>
          <w:rFonts w:ascii="Arial" w:eastAsia="Times New Roman" w:hAnsi="Arial" w:cs="Arial"/>
          <w:color w:val="707173"/>
          <w:sz w:val="23"/>
          <w:szCs w:val="23"/>
          <w:lang w:val="es-ES"/>
        </w:rPr>
      </w:pPr>
    </w:p>
    <w:p w14:paraId="7B75CBE5" w14:textId="57F48C18" w:rsidR="00F51661" w:rsidRDefault="00F51661" w:rsidP="000970D2">
      <w:pPr>
        <w:jc w:val="both"/>
        <w:rPr>
          <w:rFonts w:ascii="Arial" w:eastAsia="Times New Roman" w:hAnsi="Arial" w:cs="Arial"/>
          <w:color w:val="707173"/>
          <w:sz w:val="23"/>
          <w:szCs w:val="23"/>
          <w:lang w:val="es-ES"/>
        </w:rPr>
      </w:pPr>
      <w:r w:rsidRPr="00F51661">
        <w:rPr>
          <w:rFonts w:ascii="Arial" w:eastAsia="Times New Roman" w:hAnsi="Arial" w:cs="Arial"/>
          <w:color w:val="707173"/>
          <w:spacing w:val="8"/>
          <w:sz w:val="23"/>
          <w:szCs w:val="23"/>
          <w:lang w:val="es-ES"/>
        </w:rPr>
        <w:t>I.—Que el artículo 99 del Código de Normas y Procedimientos Tributarios, faculta a la Administración </w:t>
      </w:r>
      <w:r w:rsidRPr="00F51661">
        <w:rPr>
          <w:rFonts w:ascii="Arial" w:eastAsia="Times New Roman" w:hAnsi="Arial" w:cs="Arial"/>
          <w:color w:val="707173"/>
          <w:sz w:val="23"/>
          <w:szCs w:val="23"/>
          <w:lang w:val="es-ES"/>
        </w:rPr>
        <w:t>Tributaria para dictar normas generales, a efectos de la correcta aplicación de las leyes tributarias, dentro de los límites que fijen las disposiciones legales y reglamentarias vigentes.</w:t>
      </w:r>
    </w:p>
    <w:p w14:paraId="5BAF5261" w14:textId="77777777" w:rsidR="000970D2" w:rsidRPr="00F51661" w:rsidRDefault="000970D2" w:rsidP="000970D2">
      <w:pPr>
        <w:jc w:val="both"/>
        <w:rPr>
          <w:rFonts w:ascii="Arial" w:eastAsia="Times New Roman" w:hAnsi="Arial" w:cs="Arial"/>
          <w:color w:val="707173"/>
          <w:sz w:val="23"/>
          <w:szCs w:val="23"/>
          <w:lang w:val="es-ES"/>
        </w:rPr>
      </w:pPr>
    </w:p>
    <w:p w14:paraId="711BFCFC" w14:textId="6FF82F06" w:rsidR="00F51661" w:rsidRDefault="00F51661" w:rsidP="000970D2">
      <w:pPr>
        <w:jc w:val="both"/>
        <w:rPr>
          <w:rFonts w:ascii="Arial" w:eastAsia="Times New Roman" w:hAnsi="Arial" w:cs="Arial"/>
          <w:color w:val="707173"/>
          <w:sz w:val="23"/>
          <w:szCs w:val="23"/>
          <w:lang w:val="es-ES"/>
        </w:rPr>
      </w:pPr>
      <w:r w:rsidRPr="00F51661">
        <w:rPr>
          <w:rFonts w:ascii="Arial" w:eastAsia="Times New Roman" w:hAnsi="Arial" w:cs="Arial"/>
          <w:color w:val="707173"/>
          <w:sz w:val="23"/>
          <w:szCs w:val="23"/>
          <w:lang w:val="es-ES"/>
        </w:rPr>
        <w:t>II.—Que el artículo supra citado establece, que cuando se otorgue una potestad o facultad a la Dirección General de Tributación, se entenderá que también es aplicable a la Dirección General de Aduanas y a la Dirección General de Hacienda, en sus ámbitos de competencia.</w:t>
      </w:r>
    </w:p>
    <w:p w14:paraId="1F30E694" w14:textId="77777777" w:rsidR="000970D2" w:rsidRPr="00F51661" w:rsidRDefault="000970D2" w:rsidP="000970D2">
      <w:pPr>
        <w:jc w:val="both"/>
        <w:rPr>
          <w:rFonts w:ascii="Arial" w:eastAsia="Times New Roman" w:hAnsi="Arial" w:cs="Arial"/>
          <w:color w:val="707173"/>
          <w:sz w:val="23"/>
          <w:szCs w:val="23"/>
          <w:lang w:val="es-ES"/>
        </w:rPr>
      </w:pPr>
    </w:p>
    <w:p w14:paraId="59C545DB" w14:textId="320A76BC" w:rsidR="00F51661" w:rsidRDefault="00F51661" w:rsidP="000970D2">
      <w:pPr>
        <w:jc w:val="both"/>
        <w:rPr>
          <w:rFonts w:ascii="Arial" w:eastAsia="Times New Roman" w:hAnsi="Arial" w:cs="Arial"/>
          <w:color w:val="707173"/>
          <w:sz w:val="23"/>
          <w:szCs w:val="23"/>
          <w:lang w:val="es-ES"/>
        </w:rPr>
      </w:pPr>
      <w:r w:rsidRPr="00F51661">
        <w:rPr>
          <w:rFonts w:ascii="Arial" w:eastAsia="Times New Roman" w:hAnsi="Arial" w:cs="Arial"/>
          <w:color w:val="707173"/>
          <w:sz w:val="23"/>
          <w:szCs w:val="23"/>
          <w:lang w:val="es-ES"/>
        </w:rPr>
        <w:t xml:space="preserve">III.—Que de conformidad con el inciso b) del artículo 7º de la Ley de Creación de la Dirección General de Hacienda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color w:val="707173"/>
          <w:sz w:val="23"/>
          <w:szCs w:val="23"/>
          <w:lang w:val="es-ES"/>
        </w:rPr>
        <w:t xml:space="preserve"> 3022 y sus reformas del 27 de agosto de 1962, corresponde a la Dirección General de Hacienda realizar en forma sistemática, estudios y análisis de las diversas fuentes de ingresos públicos y proponer las modificaciones o medidas necesarias a fin de garantizar un sistema tributario que satisfaga las necesidades fiscales.</w:t>
      </w:r>
    </w:p>
    <w:p w14:paraId="5679E243" w14:textId="77777777" w:rsidR="000970D2" w:rsidRPr="00F51661" w:rsidRDefault="000970D2" w:rsidP="000970D2">
      <w:pPr>
        <w:jc w:val="both"/>
        <w:rPr>
          <w:rFonts w:ascii="Arial" w:eastAsia="Times New Roman" w:hAnsi="Arial" w:cs="Arial"/>
          <w:color w:val="707173"/>
          <w:sz w:val="23"/>
          <w:szCs w:val="23"/>
          <w:lang w:val="es-ES"/>
        </w:rPr>
      </w:pPr>
    </w:p>
    <w:p w14:paraId="0015DB92" w14:textId="1CEA079F" w:rsidR="00F51661" w:rsidRDefault="00F51661" w:rsidP="000970D2">
      <w:pPr>
        <w:jc w:val="both"/>
        <w:rPr>
          <w:rFonts w:ascii="Arial" w:eastAsia="Times New Roman" w:hAnsi="Arial" w:cs="Arial"/>
          <w:color w:val="707173"/>
          <w:sz w:val="23"/>
          <w:szCs w:val="23"/>
          <w:rtl/>
          <w:lang w:bidi="ar-YE"/>
        </w:rPr>
      </w:pPr>
      <w:r w:rsidRPr="00F51661">
        <w:rPr>
          <w:rFonts w:ascii="Arial" w:eastAsia="Times New Roman" w:hAnsi="Arial" w:cs="Arial"/>
          <w:color w:val="707173"/>
          <w:sz w:val="23"/>
          <w:szCs w:val="23"/>
          <w:lang w:val="es-ES"/>
        </w:rPr>
        <w:t xml:space="preserve">IV.—Que el artículo 6 de la Ley General de Aduanas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color w:val="707173"/>
          <w:sz w:val="23"/>
          <w:szCs w:val="23"/>
          <w:lang w:val="es-ES"/>
        </w:rPr>
        <w:t xml:space="preserve"> 7557 del 20 de octubre de 1995 y sus reformas publicadas en </w:t>
      </w:r>
      <w:r w:rsidRPr="00F51661">
        <w:rPr>
          <w:rFonts w:ascii="Arial" w:eastAsia="Times New Roman" w:hAnsi="Arial" w:cs="Arial"/>
          <w:i/>
          <w:iCs/>
          <w:color w:val="707173"/>
          <w:sz w:val="23"/>
          <w:szCs w:val="23"/>
          <w:lang w:val="es-ES"/>
        </w:rPr>
        <w:t>La Gaceta</w:t>
      </w:r>
      <w:r w:rsidRPr="00F51661">
        <w:rPr>
          <w:rFonts w:ascii="Arial" w:eastAsia="Times New Roman" w:hAnsi="Arial" w:cs="Arial"/>
          <w:color w:val="707173"/>
          <w:sz w:val="23"/>
          <w:szCs w:val="23"/>
          <w:rtl/>
        </w:rPr>
        <w:t>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hint="cs"/>
          <w:color w:val="707173"/>
          <w:sz w:val="23"/>
          <w:szCs w:val="23"/>
          <w:rtl/>
          <w:lang w:bidi="ar-YE"/>
        </w:rPr>
        <w:t> 212 </w:t>
      </w:r>
      <w:r w:rsidRPr="00F51661">
        <w:rPr>
          <w:rFonts w:ascii="Arial" w:eastAsia="Times New Roman" w:hAnsi="Arial" w:cs="Arial"/>
          <w:color w:val="707173"/>
          <w:sz w:val="23"/>
          <w:szCs w:val="23"/>
          <w:lang w:val="es-ES"/>
        </w:rPr>
        <w:t>del 08 de noviembre de 1995, establece que uno de los fines del régimen jurídico es facilitar y agilizar las operaciones de comercio exterior</w:t>
      </w:r>
      <w:r w:rsidRPr="00F51661">
        <w:rPr>
          <w:rFonts w:ascii="Arial" w:eastAsia="Times New Roman" w:hAnsi="Arial" w:cs="Arial" w:hint="cs"/>
          <w:color w:val="707173"/>
          <w:sz w:val="23"/>
          <w:szCs w:val="23"/>
          <w:rtl/>
          <w:lang w:bidi="ar-YE"/>
        </w:rPr>
        <w:t>.</w:t>
      </w:r>
    </w:p>
    <w:p w14:paraId="59332C16" w14:textId="77777777" w:rsidR="000970D2" w:rsidRPr="00F51661" w:rsidRDefault="000970D2" w:rsidP="000970D2">
      <w:pPr>
        <w:jc w:val="both"/>
        <w:rPr>
          <w:rFonts w:ascii="Arial" w:eastAsia="Times New Roman" w:hAnsi="Arial" w:cs="Arial"/>
          <w:color w:val="707173"/>
          <w:sz w:val="23"/>
          <w:szCs w:val="23"/>
          <w:lang w:val="es-ES"/>
        </w:rPr>
      </w:pPr>
    </w:p>
    <w:p w14:paraId="619530ED" w14:textId="1B2F3338" w:rsidR="00F51661" w:rsidRDefault="00F51661" w:rsidP="000970D2">
      <w:pPr>
        <w:jc w:val="both"/>
        <w:rPr>
          <w:rFonts w:ascii="Arial" w:eastAsia="Times New Roman" w:hAnsi="Arial" w:cs="Arial"/>
          <w:color w:val="707173"/>
          <w:sz w:val="23"/>
          <w:szCs w:val="23"/>
          <w:rtl/>
          <w:lang w:bidi="ar-YE"/>
        </w:rPr>
      </w:pPr>
      <w:r w:rsidRPr="00F51661">
        <w:rPr>
          <w:rFonts w:ascii="Arial" w:eastAsia="Times New Roman" w:hAnsi="Arial" w:cs="Arial"/>
          <w:color w:val="707173"/>
          <w:sz w:val="23"/>
          <w:szCs w:val="23"/>
          <w:lang w:val="es-ES"/>
        </w:rPr>
        <w:t xml:space="preserve">V.—Que el artículo 61 de la Ley General de Aduanas reformado mediante la Ley de Fortalecimiento de la Gestión Tributaria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color w:val="707173"/>
          <w:sz w:val="23"/>
          <w:szCs w:val="23"/>
          <w:lang w:val="es-ES"/>
        </w:rPr>
        <w:t xml:space="preserve"> 9069, publicada en el Alcance Digital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color w:val="707173"/>
          <w:sz w:val="23"/>
          <w:szCs w:val="23"/>
          <w:lang w:val="es-ES"/>
        </w:rPr>
        <w:t xml:space="preserve"> 143 a </w:t>
      </w:r>
      <w:r w:rsidRPr="00F51661">
        <w:rPr>
          <w:rFonts w:ascii="Arial" w:eastAsia="Times New Roman" w:hAnsi="Arial" w:cs="Arial"/>
          <w:i/>
          <w:iCs/>
          <w:color w:val="707173"/>
          <w:sz w:val="23"/>
          <w:szCs w:val="23"/>
          <w:lang w:val="es-ES"/>
        </w:rPr>
        <w:t>La Gaceta</w:t>
      </w:r>
      <w:r w:rsidRPr="00F51661">
        <w:rPr>
          <w:rFonts w:ascii="Arial" w:eastAsia="Times New Roman" w:hAnsi="Arial" w:cs="Arial"/>
          <w:color w:val="707173"/>
          <w:sz w:val="23"/>
          <w:szCs w:val="23"/>
          <w:rtl/>
        </w:rPr>
        <w:t>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hint="cs"/>
          <w:color w:val="707173"/>
          <w:sz w:val="23"/>
          <w:szCs w:val="23"/>
          <w:rtl/>
          <w:lang w:bidi="ar-YE"/>
        </w:rPr>
        <w:t> 188 </w:t>
      </w:r>
      <w:r w:rsidRPr="00F51661">
        <w:rPr>
          <w:rFonts w:ascii="Arial" w:eastAsia="Times New Roman" w:hAnsi="Arial" w:cs="Arial"/>
          <w:color w:val="707173"/>
          <w:sz w:val="23"/>
          <w:szCs w:val="23"/>
          <w:lang w:val="es-ES"/>
        </w:rPr>
        <w:t>del 28 de setiembre de 2012, establece que el pago efectuado fuera del hecho generador produce la obligación</w:t>
      </w:r>
      <w:r w:rsidRPr="00F51661">
        <w:rPr>
          <w:rFonts w:ascii="Arial" w:eastAsia="Times New Roman" w:hAnsi="Arial" w:cs="Arial"/>
          <w:color w:val="707173"/>
          <w:sz w:val="23"/>
          <w:szCs w:val="23"/>
          <w:rtl/>
        </w:rPr>
        <w:t> </w:t>
      </w:r>
      <w:r w:rsidRPr="00F51661">
        <w:rPr>
          <w:rFonts w:ascii="Arial" w:eastAsia="Times New Roman" w:hAnsi="Arial" w:cs="Arial"/>
          <w:color w:val="707173"/>
          <w:sz w:val="23"/>
          <w:szCs w:val="23"/>
          <w:lang w:val="es-ES"/>
        </w:rPr>
        <w:t>de pagar un interés</w:t>
      </w:r>
      <w:r w:rsidRPr="00F51661">
        <w:rPr>
          <w:rFonts w:ascii="Arial" w:eastAsia="Times New Roman" w:hAnsi="Arial" w:cs="Arial"/>
          <w:color w:val="707173"/>
          <w:sz w:val="23"/>
          <w:szCs w:val="23"/>
          <w:rtl/>
        </w:rPr>
        <w:t> </w:t>
      </w:r>
      <w:r w:rsidRPr="00F51661">
        <w:rPr>
          <w:rFonts w:ascii="Arial" w:eastAsia="Times New Roman" w:hAnsi="Arial" w:cs="Arial"/>
          <w:color w:val="707173"/>
          <w:sz w:val="23"/>
          <w:szCs w:val="23"/>
          <w:lang w:val="es-ES"/>
        </w:rPr>
        <w:t>junto con el tributo adeudado</w:t>
      </w:r>
      <w:r w:rsidRPr="00F51661">
        <w:rPr>
          <w:rFonts w:ascii="Arial" w:eastAsia="Times New Roman" w:hAnsi="Arial" w:cs="Arial" w:hint="cs"/>
          <w:color w:val="707173"/>
          <w:sz w:val="23"/>
          <w:szCs w:val="23"/>
          <w:rtl/>
          <w:lang w:bidi="ar-YE"/>
        </w:rPr>
        <w:t>.</w:t>
      </w:r>
    </w:p>
    <w:p w14:paraId="7CCC9C0B" w14:textId="77777777" w:rsidR="000970D2" w:rsidRPr="00F51661" w:rsidRDefault="000970D2" w:rsidP="000970D2">
      <w:pPr>
        <w:jc w:val="both"/>
        <w:rPr>
          <w:rFonts w:ascii="Arial" w:eastAsia="Times New Roman" w:hAnsi="Arial" w:cs="Arial"/>
          <w:color w:val="707173"/>
          <w:sz w:val="23"/>
          <w:szCs w:val="23"/>
          <w:lang w:val="es-ES"/>
        </w:rPr>
      </w:pPr>
    </w:p>
    <w:p w14:paraId="3382D97A" w14:textId="508B54BF" w:rsidR="00F51661" w:rsidRDefault="00F51661" w:rsidP="000970D2">
      <w:pPr>
        <w:jc w:val="both"/>
        <w:rPr>
          <w:rFonts w:ascii="Arial" w:eastAsia="Times New Roman" w:hAnsi="Arial" w:cs="Arial"/>
          <w:color w:val="707173"/>
          <w:sz w:val="23"/>
          <w:szCs w:val="23"/>
          <w:lang w:val="es-ES"/>
        </w:rPr>
      </w:pPr>
      <w:r w:rsidRPr="00F51661">
        <w:rPr>
          <w:rFonts w:ascii="Arial" w:eastAsia="Times New Roman" w:hAnsi="Arial" w:cs="Arial"/>
          <w:color w:val="707173"/>
          <w:sz w:val="23"/>
          <w:szCs w:val="23"/>
          <w:lang w:val="es-ES"/>
        </w:rPr>
        <w:t>VI.—Que mediante resolución DGH-039-2021/DGA-451-2021 de las nueve horas del día ocho de diciembre de dos mil veintiuno, la Dirección General de Hacienda y la Dirección General de Aduanas, establecieron la tasa de interés a cargo del contribuyente en 9,35%.</w:t>
      </w:r>
    </w:p>
    <w:p w14:paraId="0C3EFBE1" w14:textId="77777777" w:rsidR="000970D2" w:rsidRPr="00F51661" w:rsidRDefault="000970D2" w:rsidP="000970D2">
      <w:pPr>
        <w:jc w:val="both"/>
        <w:rPr>
          <w:rFonts w:ascii="Arial" w:eastAsia="Times New Roman" w:hAnsi="Arial" w:cs="Arial"/>
          <w:color w:val="707173"/>
          <w:sz w:val="23"/>
          <w:szCs w:val="23"/>
          <w:lang w:val="es-ES"/>
        </w:rPr>
      </w:pPr>
    </w:p>
    <w:p w14:paraId="3DDDFB95" w14:textId="7CADDA14" w:rsidR="00F51661" w:rsidRDefault="00F51661" w:rsidP="000970D2">
      <w:pPr>
        <w:jc w:val="both"/>
        <w:rPr>
          <w:rFonts w:ascii="Arial" w:eastAsia="Times New Roman" w:hAnsi="Arial" w:cs="Arial"/>
          <w:color w:val="707173"/>
          <w:sz w:val="23"/>
          <w:szCs w:val="23"/>
          <w:rtl/>
          <w:lang w:bidi="ar-YE"/>
        </w:rPr>
      </w:pPr>
      <w:r w:rsidRPr="00F51661">
        <w:rPr>
          <w:rFonts w:ascii="Arial" w:eastAsia="Times New Roman" w:hAnsi="Arial" w:cs="Arial"/>
          <w:color w:val="707173"/>
          <w:sz w:val="23"/>
          <w:szCs w:val="23"/>
          <w:lang w:val="es-ES"/>
        </w:rPr>
        <w:t xml:space="preserve">VII.—Que en los artículos 57 y 58 del Código de Normas y Procedimientos Tributarios, reformados mediante la Ley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color w:val="707173"/>
          <w:sz w:val="23"/>
          <w:szCs w:val="23"/>
          <w:lang w:val="es-ES"/>
        </w:rPr>
        <w:t xml:space="preserve"> 7900 del 3 de agosto de 1999, publicada en Diario Oficial </w:t>
      </w:r>
      <w:r w:rsidRPr="00F51661">
        <w:rPr>
          <w:rFonts w:ascii="Arial" w:eastAsia="Times New Roman" w:hAnsi="Arial" w:cs="Arial"/>
          <w:i/>
          <w:iCs/>
          <w:color w:val="707173"/>
          <w:sz w:val="23"/>
          <w:szCs w:val="23"/>
          <w:lang w:val="es-ES"/>
        </w:rPr>
        <w:t>La Gaceta</w:t>
      </w:r>
      <w:r w:rsidRPr="00F51661">
        <w:rPr>
          <w:rFonts w:ascii="Arial" w:eastAsia="Times New Roman" w:hAnsi="Arial" w:cs="Arial"/>
          <w:color w:val="707173"/>
          <w:sz w:val="23"/>
          <w:szCs w:val="23"/>
          <w:rtl/>
        </w:rPr>
        <w:t>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hint="cs"/>
          <w:color w:val="707173"/>
          <w:sz w:val="23"/>
          <w:szCs w:val="23"/>
          <w:rtl/>
          <w:lang w:bidi="ar-YE"/>
        </w:rPr>
        <w:t> 159 </w:t>
      </w:r>
      <w:r w:rsidRPr="00F51661">
        <w:rPr>
          <w:rFonts w:ascii="Arial" w:eastAsia="Times New Roman" w:hAnsi="Arial" w:cs="Arial"/>
          <w:color w:val="707173"/>
          <w:sz w:val="23"/>
          <w:szCs w:val="23"/>
          <w:lang w:val="es-ES"/>
        </w:rPr>
        <w:t>del 17 agosto de 1999 y vigente a partir del 1º</w:t>
      </w:r>
      <w:r w:rsidRPr="00F51661">
        <w:rPr>
          <w:rFonts w:ascii="Arial" w:eastAsia="Times New Roman" w:hAnsi="Arial" w:cs="Arial"/>
          <w:color w:val="707173"/>
          <w:sz w:val="23"/>
          <w:szCs w:val="23"/>
          <w:rtl/>
        </w:rPr>
        <w:t> </w:t>
      </w:r>
      <w:r w:rsidRPr="00F51661">
        <w:rPr>
          <w:rFonts w:ascii="Arial" w:eastAsia="Times New Roman" w:hAnsi="Arial" w:cs="Arial"/>
          <w:color w:val="707173"/>
          <w:sz w:val="23"/>
          <w:szCs w:val="23"/>
          <w:lang w:val="es-ES"/>
        </w:rPr>
        <w:t xml:space="preserve">de octubre de 1999 y Ley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hint="cs"/>
          <w:color w:val="707173"/>
          <w:sz w:val="23"/>
          <w:szCs w:val="23"/>
          <w:rtl/>
          <w:lang w:bidi="ar-YE"/>
        </w:rPr>
        <w:t> 9069 </w:t>
      </w:r>
      <w:r w:rsidRPr="00F51661">
        <w:rPr>
          <w:rFonts w:ascii="Arial" w:eastAsia="Times New Roman" w:hAnsi="Arial" w:cs="Arial"/>
          <w:color w:val="707173"/>
          <w:sz w:val="23"/>
          <w:szCs w:val="23"/>
          <w:lang w:val="es-ES"/>
        </w:rPr>
        <w:t>Ley de Fortalecimiento de la Gestión</w:t>
      </w:r>
      <w:r w:rsidRPr="00F51661">
        <w:rPr>
          <w:rFonts w:ascii="Arial" w:eastAsia="Times New Roman" w:hAnsi="Arial" w:cs="Arial"/>
          <w:color w:val="707173"/>
          <w:sz w:val="23"/>
          <w:szCs w:val="23"/>
          <w:rtl/>
        </w:rPr>
        <w:t> </w:t>
      </w:r>
      <w:r w:rsidRPr="00F51661">
        <w:rPr>
          <w:rFonts w:ascii="Arial" w:eastAsia="Times New Roman" w:hAnsi="Arial" w:cs="Arial"/>
          <w:color w:val="707173"/>
          <w:sz w:val="23"/>
          <w:szCs w:val="23"/>
          <w:lang w:val="es-ES"/>
        </w:rPr>
        <w:t>Tributaria del 10 de setiembre de 2012, publicada en el Alcance 143 a</w:t>
      </w:r>
      <w:r w:rsidRPr="00F51661">
        <w:rPr>
          <w:rFonts w:ascii="Arial" w:eastAsia="Times New Roman" w:hAnsi="Arial" w:cs="Arial"/>
          <w:color w:val="707173"/>
          <w:sz w:val="23"/>
          <w:szCs w:val="23"/>
          <w:rtl/>
        </w:rPr>
        <w:t> </w:t>
      </w:r>
      <w:r w:rsidRPr="00F51661">
        <w:rPr>
          <w:rFonts w:ascii="Arial" w:eastAsia="Times New Roman" w:hAnsi="Arial" w:cs="Arial"/>
          <w:i/>
          <w:iCs/>
          <w:color w:val="707173"/>
          <w:sz w:val="23"/>
          <w:szCs w:val="23"/>
          <w:lang w:val="es-ES"/>
        </w:rPr>
        <w:t>La Gaceta</w:t>
      </w:r>
      <w:r w:rsidRPr="00F51661">
        <w:rPr>
          <w:rFonts w:ascii="Arial" w:eastAsia="Times New Roman" w:hAnsi="Arial" w:cs="Arial"/>
          <w:color w:val="707173"/>
          <w:sz w:val="23"/>
          <w:szCs w:val="23"/>
          <w:rtl/>
        </w:rPr>
        <w:t>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hint="cs"/>
          <w:color w:val="707173"/>
          <w:sz w:val="23"/>
          <w:szCs w:val="23"/>
          <w:rtl/>
          <w:lang w:bidi="ar-YE"/>
        </w:rPr>
        <w:t> 188 </w:t>
      </w:r>
      <w:r w:rsidRPr="00F51661">
        <w:rPr>
          <w:rFonts w:ascii="Arial" w:eastAsia="Times New Roman" w:hAnsi="Arial" w:cs="Arial"/>
          <w:color w:val="707173"/>
          <w:sz w:val="23"/>
          <w:szCs w:val="23"/>
          <w:lang w:val="es-ES"/>
        </w:rPr>
        <w:t>del 28 de setiembre 2012, se reformó</w:t>
      </w:r>
      <w:r w:rsidRPr="00F51661">
        <w:rPr>
          <w:rFonts w:ascii="Arial" w:eastAsia="Times New Roman" w:hAnsi="Arial" w:cs="Arial"/>
          <w:color w:val="707173"/>
          <w:sz w:val="23"/>
          <w:szCs w:val="23"/>
          <w:rtl/>
        </w:rPr>
        <w:t> </w:t>
      </w:r>
      <w:r w:rsidRPr="00F51661">
        <w:rPr>
          <w:rFonts w:ascii="Arial" w:eastAsia="Times New Roman" w:hAnsi="Arial" w:cs="Arial"/>
          <w:color w:val="707173"/>
          <w:sz w:val="23"/>
          <w:szCs w:val="23"/>
          <w:lang w:val="es-ES"/>
        </w:rPr>
        <w:t xml:space="preserve">el artículo 61 de la Ley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hint="cs"/>
          <w:color w:val="707173"/>
          <w:sz w:val="23"/>
          <w:szCs w:val="23"/>
          <w:rtl/>
          <w:lang w:bidi="ar-YE"/>
        </w:rPr>
        <w:t> 7557 </w:t>
      </w:r>
      <w:r w:rsidRPr="00F51661">
        <w:rPr>
          <w:rFonts w:ascii="Arial" w:eastAsia="Times New Roman" w:hAnsi="Arial" w:cs="Arial"/>
          <w:color w:val="707173"/>
          <w:sz w:val="23"/>
          <w:szCs w:val="23"/>
          <w:lang w:val="es-ES"/>
        </w:rPr>
        <w:t>Ley General de Aduanas. Ambas normas, en los supra citados artículos definen la base de cálculo de la tasa de interés</w:t>
      </w:r>
      <w:r w:rsidRPr="00F51661">
        <w:rPr>
          <w:rFonts w:ascii="Arial" w:eastAsia="Times New Roman" w:hAnsi="Arial" w:cs="Arial"/>
          <w:color w:val="707173"/>
          <w:sz w:val="23"/>
          <w:szCs w:val="23"/>
          <w:rtl/>
        </w:rPr>
        <w:t> </w:t>
      </w:r>
      <w:r w:rsidRPr="00F51661">
        <w:rPr>
          <w:rFonts w:ascii="Arial" w:eastAsia="Times New Roman" w:hAnsi="Arial" w:cs="Arial"/>
          <w:color w:val="707173"/>
          <w:sz w:val="23"/>
          <w:szCs w:val="23"/>
          <w:lang w:val="es-ES"/>
        </w:rPr>
        <w:t xml:space="preserve">a cobrar sobre deudas a cargo del </w:t>
      </w:r>
      <w:r w:rsidRPr="00F51661">
        <w:rPr>
          <w:rFonts w:ascii="Arial" w:eastAsia="Times New Roman" w:hAnsi="Arial" w:cs="Arial"/>
          <w:color w:val="707173"/>
          <w:sz w:val="23"/>
          <w:szCs w:val="23"/>
          <w:lang w:val="es-ES"/>
        </w:rPr>
        <w:lastRenderedPageBreak/>
        <w:t>sujeto pasivo, así</w:t>
      </w:r>
      <w:r w:rsidR="000970D2">
        <w:rPr>
          <w:rFonts w:ascii="Arial" w:eastAsia="Times New Roman" w:hAnsi="Arial" w:cs="Arial"/>
          <w:color w:val="707173"/>
          <w:sz w:val="23"/>
          <w:szCs w:val="23"/>
          <w:lang w:val="es-ES"/>
        </w:rPr>
        <w:t xml:space="preserve"> </w:t>
      </w:r>
      <w:r w:rsidRPr="00F51661">
        <w:rPr>
          <w:rFonts w:ascii="Arial" w:eastAsia="Times New Roman" w:hAnsi="Arial" w:cs="Arial"/>
          <w:color w:val="707173"/>
          <w:sz w:val="23"/>
          <w:szCs w:val="23"/>
          <w:lang w:val="es-ES"/>
        </w:rPr>
        <w:t>como la tasa de interés</w:t>
      </w:r>
      <w:r w:rsidRPr="00F51661">
        <w:rPr>
          <w:rFonts w:ascii="Arial" w:eastAsia="Times New Roman" w:hAnsi="Arial" w:cs="Arial"/>
          <w:color w:val="707173"/>
          <w:sz w:val="23"/>
          <w:szCs w:val="23"/>
          <w:rtl/>
        </w:rPr>
        <w:t> </w:t>
      </w:r>
      <w:r w:rsidRPr="00F51661">
        <w:rPr>
          <w:rFonts w:ascii="Arial" w:eastAsia="Times New Roman" w:hAnsi="Arial" w:cs="Arial"/>
          <w:color w:val="707173"/>
          <w:sz w:val="23"/>
          <w:szCs w:val="23"/>
          <w:lang w:val="es-ES"/>
        </w:rPr>
        <w:t>sobre el principal de las obligaciones tributarias aduaneras</w:t>
      </w:r>
      <w:r w:rsidRPr="00F51661">
        <w:rPr>
          <w:rFonts w:ascii="Arial" w:eastAsia="Times New Roman" w:hAnsi="Arial" w:cs="Arial" w:hint="cs"/>
          <w:color w:val="707173"/>
          <w:sz w:val="23"/>
          <w:szCs w:val="23"/>
          <w:rtl/>
          <w:lang w:bidi="ar-YE"/>
        </w:rPr>
        <w:t>.</w:t>
      </w:r>
    </w:p>
    <w:p w14:paraId="438FBF62" w14:textId="77777777" w:rsidR="000970D2" w:rsidRPr="00F51661" w:rsidRDefault="000970D2" w:rsidP="000970D2">
      <w:pPr>
        <w:jc w:val="both"/>
        <w:rPr>
          <w:rFonts w:ascii="Arial" w:eastAsia="Times New Roman" w:hAnsi="Arial" w:cs="Arial"/>
          <w:color w:val="707173"/>
          <w:sz w:val="23"/>
          <w:szCs w:val="23"/>
          <w:lang w:val="es-ES"/>
        </w:rPr>
      </w:pPr>
    </w:p>
    <w:p w14:paraId="080949F1" w14:textId="34943C69" w:rsidR="00F51661" w:rsidRDefault="00F51661" w:rsidP="000970D2">
      <w:pPr>
        <w:jc w:val="both"/>
        <w:rPr>
          <w:rFonts w:ascii="Arial" w:eastAsia="Times New Roman" w:hAnsi="Arial" w:cs="Arial"/>
          <w:color w:val="707173"/>
          <w:sz w:val="23"/>
          <w:szCs w:val="23"/>
          <w:lang w:val="es-ES"/>
        </w:rPr>
      </w:pPr>
      <w:r w:rsidRPr="00F51661">
        <w:rPr>
          <w:rFonts w:ascii="Arial" w:eastAsia="Times New Roman" w:hAnsi="Arial" w:cs="Arial"/>
          <w:color w:val="707173"/>
          <w:sz w:val="23"/>
          <w:szCs w:val="23"/>
          <w:lang w:val="es-ES"/>
        </w:rPr>
        <w:t>VIII.—Que el cálculo de la tasa de interés a cargo del sujeto pasivo y de la Administración Tributaria y Aduanera, será la cifra resultante de obtener el promedio simple de las tasas activas de los bancos comerciales del Estado para créditos del sector comercial, no pudiendo exceder en más de diez puntos la tasa básica pasiva fijada por el Banco Central de Costa Rica. Además, la resolución que se emita para fijar dicha tasa deberá hacerse cada seis meses por lo menos.</w:t>
      </w:r>
    </w:p>
    <w:p w14:paraId="35DE4776" w14:textId="77777777" w:rsidR="000970D2" w:rsidRPr="00F51661" w:rsidRDefault="000970D2" w:rsidP="000970D2">
      <w:pPr>
        <w:jc w:val="both"/>
        <w:rPr>
          <w:rFonts w:ascii="Arial" w:eastAsia="Times New Roman" w:hAnsi="Arial" w:cs="Arial"/>
          <w:color w:val="707173"/>
          <w:sz w:val="23"/>
          <w:szCs w:val="23"/>
          <w:lang w:val="es-ES"/>
        </w:rPr>
      </w:pPr>
    </w:p>
    <w:p w14:paraId="6766489D" w14:textId="2B684000" w:rsidR="00F51661" w:rsidRDefault="00F51661" w:rsidP="000970D2">
      <w:pPr>
        <w:jc w:val="both"/>
        <w:rPr>
          <w:rFonts w:ascii="Arial" w:eastAsia="Times New Roman" w:hAnsi="Arial" w:cs="Arial"/>
          <w:color w:val="707173"/>
          <w:sz w:val="23"/>
          <w:szCs w:val="23"/>
          <w:lang w:val="es-ES"/>
        </w:rPr>
      </w:pPr>
      <w:r w:rsidRPr="00F51661">
        <w:rPr>
          <w:rFonts w:ascii="Arial" w:eastAsia="Times New Roman" w:hAnsi="Arial" w:cs="Arial"/>
          <w:color w:val="707173"/>
          <w:sz w:val="23"/>
          <w:szCs w:val="23"/>
          <w:lang w:val="es-ES"/>
        </w:rPr>
        <w:t xml:space="preserve">IX.—Que mediante Ley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color w:val="707173"/>
          <w:sz w:val="23"/>
          <w:szCs w:val="23"/>
          <w:lang w:val="es-ES"/>
        </w:rPr>
        <w:t xml:space="preserve"> 9605, del 12 de setiembre de 2018, se publicó la fusión por absorción del Banco Crédito Agrícola de Cartago por el Banco de Costa Rica con lo cual el primero se extinguió como persona jurídica, y su patrimonio neto se trasladó al Banco de Costa Rica.</w:t>
      </w:r>
    </w:p>
    <w:p w14:paraId="596C1A70" w14:textId="77777777" w:rsidR="000970D2" w:rsidRPr="00F51661" w:rsidRDefault="000970D2" w:rsidP="000970D2">
      <w:pPr>
        <w:jc w:val="both"/>
        <w:rPr>
          <w:rFonts w:ascii="Arial" w:eastAsia="Times New Roman" w:hAnsi="Arial" w:cs="Arial"/>
          <w:color w:val="707173"/>
          <w:sz w:val="23"/>
          <w:szCs w:val="23"/>
          <w:lang w:val="es-ES"/>
        </w:rPr>
      </w:pPr>
    </w:p>
    <w:p w14:paraId="59FC935D" w14:textId="233F1DBF" w:rsidR="00F51661" w:rsidRDefault="00F51661" w:rsidP="000970D2">
      <w:pPr>
        <w:jc w:val="both"/>
        <w:rPr>
          <w:rFonts w:ascii="Arial" w:eastAsia="Times New Roman" w:hAnsi="Arial" w:cs="Arial"/>
          <w:color w:val="707173"/>
          <w:spacing w:val="-2"/>
          <w:sz w:val="23"/>
          <w:szCs w:val="23"/>
          <w:lang w:val="es-ES"/>
        </w:rPr>
      </w:pPr>
      <w:r w:rsidRPr="00F51661">
        <w:rPr>
          <w:rFonts w:ascii="Arial" w:eastAsia="Times New Roman" w:hAnsi="Arial" w:cs="Arial"/>
          <w:color w:val="707173"/>
          <w:spacing w:val="-2"/>
          <w:sz w:val="23"/>
          <w:szCs w:val="23"/>
          <w:lang w:val="es-ES"/>
        </w:rPr>
        <w:t>X.—Que el promedio simple de las tasas activas para el sector comercial de los Bancos Nacional de Costa Rica y Banco de Costa Rica, es de 8,53% al día 31 de mayo del 2022.</w:t>
      </w:r>
    </w:p>
    <w:p w14:paraId="4764E0CF" w14:textId="77777777" w:rsidR="000970D2" w:rsidRPr="00F51661" w:rsidRDefault="000970D2" w:rsidP="000970D2">
      <w:pPr>
        <w:jc w:val="both"/>
        <w:rPr>
          <w:rFonts w:ascii="Arial" w:eastAsia="Times New Roman" w:hAnsi="Arial" w:cs="Arial"/>
          <w:color w:val="707173"/>
          <w:sz w:val="23"/>
          <w:szCs w:val="23"/>
          <w:lang w:val="es-ES"/>
        </w:rPr>
      </w:pPr>
    </w:p>
    <w:p w14:paraId="49AE38F1" w14:textId="6498362B" w:rsidR="00F51661" w:rsidRPr="00F51661" w:rsidRDefault="00F51661" w:rsidP="000970D2">
      <w:pPr>
        <w:jc w:val="both"/>
        <w:rPr>
          <w:rFonts w:ascii="Arial" w:eastAsia="Times New Roman" w:hAnsi="Arial" w:cs="Arial"/>
          <w:b/>
          <w:bCs/>
          <w:color w:val="707173"/>
          <w:sz w:val="23"/>
          <w:szCs w:val="23"/>
          <w:lang w:val="es-ES"/>
        </w:rPr>
      </w:pPr>
      <w:r w:rsidRPr="00F51661">
        <w:rPr>
          <w:rFonts w:ascii="Arial" w:eastAsia="Times New Roman" w:hAnsi="Arial" w:cs="Arial"/>
          <w:color w:val="707173"/>
          <w:sz w:val="23"/>
          <w:szCs w:val="23"/>
          <w:lang w:val="es-ES"/>
        </w:rPr>
        <w:t>XI.—Que la tasa básica pasiva fijada por el Banco Central de Costa Rica al 31 de mayo de 2022, es de 3,12% anual, por lo que la tasa de interés a establecer por parte de la Dirección General de Hacienda y la Dirección General de Aduanas en forma conjunta, no podrá exceder en más de diez puntos la tasa básica pasiva, es decir 13,12%. Al ser el promedio simple de la tasa activa, inferior para créditos del sector comercial de los Bancos Estatales, prevalece el promedio simple de la tasa activa sea 8,53%. </w:t>
      </w:r>
      <w:r w:rsidRPr="00F51661">
        <w:rPr>
          <w:rFonts w:ascii="Arial" w:eastAsia="Times New Roman" w:hAnsi="Arial" w:cs="Arial"/>
          <w:b/>
          <w:bCs/>
          <w:color w:val="707173"/>
          <w:sz w:val="23"/>
          <w:szCs w:val="23"/>
          <w:lang w:val="es-ES"/>
        </w:rPr>
        <w:t>Por</w:t>
      </w:r>
      <w:r w:rsidRPr="00F51661">
        <w:rPr>
          <w:rFonts w:ascii="Arial" w:eastAsia="Times New Roman" w:hAnsi="Arial" w:cs="Arial"/>
          <w:color w:val="707173"/>
          <w:sz w:val="23"/>
          <w:szCs w:val="23"/>
          <w:lang w:val="es-ES"/>
        </w:rPr>
        <w:t> </w:t>
      </w:r>
      <w:r w:rsidRPr="00F51661">
        <w:rPr>
          <w:rFonts w:ascii="Arial" w:eastAsia="Times New Roman" w:hAnsi="Arial" w:cs="Arial"/>
          <w:b/>
          <w:bCs/>
          <w:color w:val="707173"/>
          <w:sz w:val="23"/>
          <w:szCs w:val="23"/>
          <w:lang w:val="es-ES"/>
        </w:rPr>
        <w:t>tanto,</w:t>
      </w:r>
    </w:p>
    <w:p w14:paraId="3E62F1B4" w14:textId="77777777" w:rsidR="00F51661" w:rsidRPr="00F51661" w:rsidRDefault="00F51661" w:rsidP="000970D2">
      <w:pPr>
        <w:jc w:val="both"/>
        <w:rPr>
          <w:rFonts w:ascii="Arial" w:eastAsia="Times New Roman" w:hAnsi="Arial" w:cs="Arial"/>
          <w:color w:val="707173"/>
          <w:sz w:val="23"/>
          <w:szCs w:val="23"/>
          <w:lang w:val="es-ES"/>
        </w:rPr>
      </w:pPr>
    </w:p>
    <w:p w14:paraId="3BCB4D71" w14:textId="77777777" w:rsidR="00F51661" w:rsidRPr="00F51661" w:rsidRDefault="00F51661" w:rsidP="000970D2">
      <w:pPr>
        <w:jc w:val="center"/>
        <w:rPr>
          <w:rFonts w:ascii="Arial" w:eastAsia="Times New Roman" w:hAnsi="Arial" w:cs="Arial"/>
          <w:b/>
          <w:bCs/>
          <w:color w:val="707173"/>
          <w:sz w:val="23"/>
          <w:szCs w:val="23"/>
          <w:lang w:val="es-ES"/>
        </w:rPr>
      </w:pPr>
      <w:r w:rsidRPr="00F51661">
        <w:rPr>
          <w:rFonts w:ascii="Arial" w:eastAsia="Times New Roman" w:hAnsi="Arial" w:cs="Arial"/>
          <w:b/>
          <w:bCs/>
          <w:color w:val="707173"/>
          <w:sz w:val="23"/>
          <w:szCs w:val="23"/>
          <w:lang w:val="es-ES"/>
        </w:rPr>
        <w:t>LA DIRECCIÓN GENERAL DE HACIENDA</w:t>
      </w:r>
    </w:p>
    <w:p w14:paraId="0166C45E" w14:textId="77777777" w:rsidR="00F51661" w:rsidRPr="00F51661" w:rsidRDefault="00F51661" w:rsidP="000970D2">
      <w:pPr>
        <w:jc w:val="center"/>
        <w:rPr>
          <w:rFonts w:ascii="Arial" w:eastAsia="Times New Roman" w:hAnsi="Arial" w:cs="Arial"/>
          <w:b/>
          <w:bCs/>
          <w:color w:val="707173"/>
          <w:sz w:val="23"/>
          <w:szCs w:val="23"/>
          <w:lang w:val="es-ES"/>
        </w:rPr>
      </w:pPr>
      <w:r w:rsidRPr="00F51661">
        <w:rPr>
          <w:rFonts w:ascii="Arial" w:eastAsia="Times New Roman" w:hAnsi="Arial" w:cs="Arial"/>
          <w:b/>
          <w:bCs/>
          <w:color w:val="707173"/>
          <w:sz w:val="23"/>
          <w:szCs w:val="23"/>
          <w:lang w:val="es-ES"/>
        </w:rPr>
        <w:t>Y LA DIRECCIÓN GENERAL DE ADUANAS,</w:t>
      </w:r>
    </w:p>
    <w:p w14:paraId="5E87F53B" w14:textId="64B7D99E" w:rsidR="00F51661" w:rsidRPr="000970D2" w:rsidRDefault="00F51661" w:rsidP="000970D2">
      <w:pPr>
        <w:jc w:val="center"/>
        <w:rPr>
          <w:rFonts w:ascii="Arial" w:eastAsia="Times New Roman" w:hAnsi="Arial" w:cs="Arial"/>
          <w:b/>
          <w:bCs/>
          <w:color w:val="707173"/>
          <w:sz w:val="23"/>
          <w:szCs w:val="23"/>
          <w:lang w:val="es-ES"/>
        </w:rPr>
      </w:pPr>
      <w:r w:rsidRPr="00F51661">
        <w:rPr>
          <w:rFonts w:ascii="Arial" w:eastAsia="Times New Roman" w:hAnsi="Arial" w:cs="Arial"/>
          <w:b/>
          <w:bCs/>
          <w:color w:val="707173"/>
          <w:sz w:val="23"/>
          <w:szCs w:val="23"/>
          <w:lang w:val="es-ES"/>
        </w:rPr>
        <w:t>RESUELVEN:</w:t>
      </w:r>
    </w:p>
    <w:p w14:paraId="3725787F" w14:textId="77777777" w:rsidR="00F51661" w:rsidRPr="00F51661" w:rsidRDefault="00F51661" w:rsidP="000970D2">
      <w:pPr>
        <w:jc w:val="both"/>
        <w:rPr>
          <w:rFonts w:ascii="Arial" w:eastAsia="Times New Roman" w:hAnsi="Arial" w:cs="Arial"/>
          <w:color w:val="707173"/>
          <w:sz w:val="23"/>
          <w:szCs w:val="23"/>
          <w:lang w:val="es-ES"/>
        </w:rPr>
      </w:pPr>
    </w:p>
    <w:p w14:paraId="20D7C349" w14:textId="338C7149" w:rsidR="00F51661" w:rsidRPr="00F51661" w:rsidRDefault="00F51661" w:rsidP="000970D2">
      <w:pPr>
        <w:jc w:val="both"/>
        <w:rPr>
          <w:rFonts w:ascii="Arial" w:eastAsia="Times New Roman" w:hAnsi="Arial" w:cs="Arial"/>
          <w:color w:val="707173"/>
          <w:sz w:val="23"/>
          <w:szCs w:val="23"/>
          <w:lang w:val="es-ES"/>
        </w:rPr>
      </w:pPr>
      <w:r w:rsidRPr="00F51661">
        <w:rPr>
          <w:rFonts w:ascii="Arial" w:eastAsia="Times New Roman" w:hAnsi="Arial" w:cs="Arial"/>
          <w:color w:val="707173"/>
          <w:spacing w:val="6"/>
          <w:sz w:val="23"/>
          <w:szCs w:val="23"/>
          <w:lang w:val="es-ES"/>
        </w:rPr>
        <w:t>Artículo 1º—Se establece en 8,53% la tasa de interés tanto a cargo del sujeto pasivo como a cargo de la </w:t>
      </w:r>
      <w:r w:rsidRPr="00F51661">
        <w:rPr>
          <w:rFonts w:ascii="Arial" w:eastAsia="Times New Roman" w:hAnsi="Arial" w:cs="Arial"/>
          <w:color w:val="707173"/>
          <w:sz w:val="23"/>
          <w:szCs w:val="23"/>
          <w:lang w:val="es-ES"/>
        </w:rPr>
        <w:t>Administración Tributaria, de conformidad con lo regulado en los artículos 57 y 58 del Código de Normas y Procedimientos Tributarios y el artículo 61 de la Ley General de Aduanas.</w:t>
      </w:r>
    </w:p>
    <w:p w14:paraId="2DE2CC7F" w14:textId="77777777" w:rsidR="00F51661" w:rsidRPr="00F51661" w:rsidRDefault="00F51661" w:rsidP="000970D2">
      <w:pPr>
        <w:jc w:val="both"/>
        <w:rPr>
          <w:rFonts w:ascii="Arial" w:eastAsia="Times New Roman" w:hAnsi="Arial" w:cs="Arial"/>
          <w:color w:val="707173"/>
          <w:sz w:val="23"/>
          <w:szCs w:val="23"/>
          <w:lang w:val="es-ES"/>
        </w:rPr>
      </w:pPr>
    </w:p>
    <w:p w14:paraId="106B8736" w14:textId="70CBE8D8" w:rsidR="00F51661" w:rsidRDefault="00F51661" w:rsidP="000970D2">
      <w:pPr>
        <w:jc w:val="both"/>
        <w:rPr>
          <w:rFonts w:ascii="Arial" w:eastAsia="Times New Roman" w:hAnsi="Arial" w:cs="Arial"/>
          <w:color w:val="707173"/>
          <w:sz w:val="23"/>
          <w:szCs w:val="23"/>
          <w:rtl/>
          <w:lang w:bidi="ar-YE"/>
        </w:rPr>
      </w:pPr>
      <w:r w:rsidRPr="00F51661">
        <w:rPr>
          <w:rFonts w:ascii="Arial" w:eastAsia="Times New Roman" w:hAnsi="Arial" w:cs="Arial"/>
          <w:color w:val="707173"/>
          <w:sz w:val="23"/>
          <w:szCs w:val="23"/>
          <w:lang w:val="es-ES"/>
        </w:rPr>
        <w:t>Artículo 2º—Igual tasa de interés será aplicable en caso de pagos de la obligación tributaria aduanera realizadas </w:t>
      </w:r>
      <w:r w:rsidRPr="00F51661">
        <w:rPr>
          <w:rFonts w:ascii="Arial" w:eastAsia="Times New Roman" w:hAnsi="Arial" w:cs="Arial"/>
          <w:color w:val="707173"/>
          <w:spacing w:val="8"/>
          <w:sz w:val="23"/>
          <w:szCs w:val="23"/>
          <w:lang w:val="es-ES"/>
        </w:rPr>
        <w:t>posteriores al momento del hecho generador o cobros </w:t>
      </w:r>
      <w:r w:rsidRPr="00F51661">
        <w:rPr>
          <w:rFonts w:ascii="Arial" w:eastAsia="Times New Roman" w:hAnsi="Arial" w:cs="Arial"/>
          <w:color w:val="707173"/>
          <w:sz w:val="23"/>
          <w:szCs w:val="23"/>
          <w:lang w:val="es-ES"/>
        </w:rPr>
        <w:t xml:space="preserve">indebidos de tributos realizados por la Administración Aduanera de conformidad con la Ley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color w:val="707173"/>
          <w:sz w:val="23"/>
          <w:szCs w:val="23"/>
          <w:lang w:val="es-ES"/>
        </w:rPr>
        <w:t xml:space="preserve"> 9069, Ley de Fortalecimiento de la Gestión Tributaria del 10 de setiembre de 2012, publicada en el Alcance 143 de </w:t>
      </w:r>
      <w:r w:rsidRPr="00F51661">
        <w:rPr>
          <w:rFonts w:ascii="Arial" w:eastAsia="Times New Roman" w:hAnsi="Arial" w:cs="Arial"/>
          <w:i/>
          <w:iCs/>
          <w:color w:val="707173"/>
          <w:sz w:val="23"/>
          <w:szCs w:val="23"/>
          <w:lang w:val="es-ES"/>
        </w:rPr>
        <w:t>La Gaceta</w:t>
      </w:r>
      <w:r w:rsidRPr="00F51661">
        <w:rPr>
          <w:rFonts w:ascii="Arial" w:eastAsia="Times New Roman" w:hAnsi="Arial" w:cs="Arial"/>
          <w:color w:val="707173"/>
          <w:sz w:val="23"/>
          <w:szCs w:val="23"/>
          <w:rtl/>
        </w:rPr>
        <w:t>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hint="cs"/>
          <w:color w:val="707173"/>
          <w:sz w:val="23"/>
          <w:szCs w:val="23"/>
          <w:rtl/>
          <w:lang w:bidi="ar-YE"/>
        </w:rPr>
        <w:t> 188 </w:t>
      </w:r>
      <w:r w:rsidRPr="00F51661">
        <w:rPr>
          <w:rFonts w:ascii="Arial" w:eastAsia="Times New Roman" w:hAnsi="Arial" w:cs="Arial"/>
          <w:color w:val="707173"/>
          <w:sz w:val="23"/>
          <w:szCs w:val="23"/>
          <w:lang w:val="es-ES"/>
        </w:rPr>
        <w:t>del 28 de setiembre 2012 con la que se reformó</w:t>
      </w:r>
      <w:r w:rsidRPr="00F51661">
        <w:rPr>
          <w:rFonts w:ascii="Arial" w:eastAsia="Times New Roman" w:hAnsi="Arial" w:cs="Arial"/>
          <w:color w:val="707173"/>
          <w:sz w:val="23"/>
          <w:szCs w:val="23"/>
          <w:rtl/>
        </w:rPr>
        <w:t> </w:t>
      </w:r>
      <w:r w:rsidRPr="00F51661">
        <w:rPr>
          <w:rFonts w:ascii="Arial" w:eastAsia="Times New Roman" w:hAnsi="Arial" w:cs="Arial"/>
          <w:color w:val="707173"/>
          <w:sz w:val="23"/>
          <w:szCs w:val="23"/>
          <w:lang w:val="es-ES"/>
        </w:rPr>
        <w:t xml:space="preserve">el artículo 61 de la Ley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hint="cs"/>
          <w:color w:val="707173"/>
          <w:sz w:val="23"/>
          <w:szCs w:val="23"/>
          <w:rtl/>
          <w:lang w:bidi="ar-YE"/>
        </w:rPr>
        <w:t> 7557 </w:t>
      </w:r>
      <w:r w:rsidRPr="00F51661">
        <w:rPr>
          <w:rFonts w:ascii="Arial" w:eastAsia="Times New Roman" w:hAnsi="Arial" w:cs="Arial"/>
          <w:color w:val="707173"/>
          <w:sz w:val="23"/>
          <w:szCs w:val="23"/>
          <w:lang w:val="es-ES"/>
        </w:rPr>
        <w:t>Ley General de Aduanas</w:t>
      </w:r>
      <w:r w:rsidRPr="00F51661">
        <w:rPr>
          <w:rFonts w:ascii="Arial" w:eastAsia="Times New Roman" w:hAnsi="Arial" w:cs="Arial" w:hint="cs"/>
          <w:color w:val="707173"/>
          <w:sz w:val="23"/>
          <w:szCs w:val="23"/>
          <w:rtl/>
          <w:lang w:bidi="ar-YE"/>
        </w:rPr>
        <w:t>.</w:t>
      </w:r>
    </w:p>
    <w:p w14:paraId="59B095F6" w14:textId="77777777" w:rsidR="00F51661" w:rsidRPr="00F51661" w:rsidRDefault="00F51661" w:rsidP="000970D2">
      <w:pPr>
        <w:jc w:val="both"/>
        <w:rPr>
          <w:rFonts w:ascii="Arial" w:eastAsia="Times New Roman" w:hAnsi="Arial" w:cs="Arial"/>
          <w:color w:val="707173"/>
          <w:sz w:val="23"/>
          <w:szCs w:val="23"/>
          <w:lang w:val="es-ES"/>
        </w:rPr>
      </w:pPr>
    </w:p>
    <w:p w14:paraId="082EE53B" w14:textId="6675E2FE" w:rsidR="00F51661" w:rsidRPr="00F51661" w:rsidRDefault="00F51661" w:rsidP="000970D2">
      <w:pPr>
        <w:jc w:val="both"/>
        <w:rPr>
          <w:rFonts w:ascii="Arial" w:eastAsia="Times New Roman" w:hAnsi="Arial" w:cs="Arial"/>
          <w:color w:val="707173"/>
          <w:sz w:val="23"/>
          <w:szCs w:val="23"/>
          <w:lang w:val="es-ES"/>
        </w:rPr>
      </w:pPr>
      <w:r w:rsidRPr="00F51661">
        <w:rPr>
          <w:rFonts w:ascii="Arial" w:eastAsia="Times New Roman" w:hAnsi="Arial" w:cs="Arial"/>
          <w:color w:val="707173"/>
          <w:sz w:val="23"/>
          <w:szCs w:val="23"/>
          <w:lang w:val="es-ES"/>
        </w:rPr>
        <w:t>Artículo 3º—También aplica la misma tasa de interés para el cobro de intereses en caso de multas impuestas por el Servicio Nacional de Aduanas no pagadas, las cuales se computarán a partir de los tres días hábiles siguientes a la firmeza de la resolución que las fija, conforme a la tasa establecida en el artículo 61 de la Ley General de Aduanas.</w:t>
      </w:r>
    </w:p>
    <w:p w14:paraId="5392284D" w14:textId="77777777" w:rsidR="00F51661" w:rsidRPr="00F51661" w:rsidRDefault="00F51661" w:rsidP="000970D2">
      <w:pPr>
        <w:jc w:val="both"/>
        <w:rPr>
          <w:rFonts w:ascii="Arial" w:eastAsia="Times New Roman" w:hAnsi="Arial" w:cs="Arial"/>
          <w:color w:val="707173"/>
          <w:sz w:val="23"/>
          <w:szCs w:val="23"/>
          <w:lang w:val="es-ES"/>
        </w:rPr>
      </w:pPr>
    </w:p>
    <w:p w14:paraId="0A1CCE45" w14:textId="2920FFBF" w:rsidR="00F51661" w:rsidRPr="00F51661" w:rsidRDefault="00F51661" w:rsidP="000970D2">
      <w:pPr>
        <w:jc w:val="both"/>
        <w:rPr>
          <w:rFonts w:ascii="Arial" w:eastAsia="Times New Roman" w:hAnsi="Arial" w:cs="Arial"/>
          <w:color w:val="707173"/>
          <w:sz w:val="23"/>
          <w:szCs w:val="23"/>
          <w:lang w:val="es-ES"/>
        </w:rPr>
      </w:pPr>
      <w:r w:rsidRPr="00F51661">
        <w:rPr>
          <w:rFonts w:ascii="Arial" w:eastAsia="Times New Roman" w:hAnsi="Arial" w:cs="Arial"/>
          <w:color w:val="707173"/>
          <w:sz w:val="23"/>
          <w:szCs w:val="23"/>
          <w:lang w:val="es-ES"/>
        </w:rPr>
        <w:t xml:space="preserve">Artículo 4º—La tasa de interés del 8,53% que se establece en la presente resolución estará vigente a partir del </w:t>
      </w:r>
      <w:r w:rsidRPr="00F51661">
        <w:rPr>
          <w:rFonts w:ascii="Arial" w:eastAsia="Times New Roman" w:hAnsi="Arial" w:cs="Arial"/>
          <w:b/>
          <w:bCs/>
          <w:color w:val="707173"/>
          <w:sz w:val="23"/>
          <w:szCs w:val="23"/>
          <w:lang w:val="es-ES"/>
        </w:rPr>
        <w:t>01 de julio del 2022</w:t>
      </w:r>
      <w:r w:rsidRPr="00F51661">
        <w:rPr>
          <w:rFonts w:ascii="Arial" w:eastAsia="Times New Roman" w:hAnsi="Arial" w:cs="Arial"/>
          <w:color w:val="707173"/>
          <w:sz w:val="23"/>
          <w:szCs w:val="23"/>
          <w:lang w:val="es-ES"/>
        </w:rPr>
        <w:t>.</w:t>
      </w:r>
    </w:p>
    <w:p w14:paraId="71FFF9D5" w14:textId="77777777" w:rsidR="00F51661" w:rsidRPr="00F51661" w:rsidRDefault="00F51661" w:rsidP="000970D2">
      <w:pPr>
        <w:jc w:val="both"/>
        <w:rPr>
          <w:rFonts w:ascii="Arial" w:eastAsia="Times New Roman" w:hAnsi="Arial" w:cs="Arial"/>
          <w:color w:val="707173"/>
          <w:sz w:val="23"/>
          <w:szCs w:val="23"/>
          <w:lang w:val="es-ES"/>
        </w:rPr>
      </w:pPr>
    </w:p>
    <w:p w14:paraId="0E21EBA3" w14:textId="04204A1B" w:rsidR="00F51661" w:rsidRDefault="00F51661" w:rsidP="000970D2">
      <w:pPr>
        <w:jc w:val="both"/>
        <w:rPr>
          <w:rFonts w:ascii="Arial" w:eastAsia="Times New Roman" w:hAnsi="Arial" w:cs="Arial"/>
          <w:color w:val="707173"/>
          <w:sz w:val="23"/>
          <w:szCs w:val="23"/>
          <w:rtl/>
          <w:lang w:bidi="ar-YE"/>
        </w:rPr>
      </w:pPr>
      <w:r w:rsidRPr="00F51661">
        <w:rPr>
          <w:rFonts w:ascii="Arial" w:eastAsia="Times New Roman" w:hAnsi="Arial" w:cs="Arial"/>
          <w:color w:val="707173"/>
          <w:sz w:val="23"/>
          <w:szCs w:val="23"/>
          <w:lang w:val="es-ES"/>
        </w:rPr>
        <w:lastRenderedPageBreak/>
        <w:t>Artículo 5º—Se deja sin vigencia la resolución RES-</w:t>
      </w:r>
      <w:r w:rsidRPr="00F51661">
        <w:rPr>
          <w:rFonts w:ascii="Arial" w:eastAsia="Times New Roman" w:hAnsi="Arial" w:cs="Arial"/>
          <w:color w:val="707173"/>
          <w:spacing w:val="-2"/>
          <w:sz w:val="23"/>
          <w:szCs w:val="23"/>
          <w:lang w:val="es-ES"/>
        </w:rPr>
        <w:t>DGH-039-2021 y RES-DGA-451-2021 de la Dirección </w:t>
      </w:r>
      <w:r w:rsidRPr="00F51661">
        <w:rPr>
          <w:rFonts w:ascii="Arial" w:eastAsia="Times New Roman" w:hAnsi="Arial" w:cs="Arial"/>
          <w:color w:val="707173"/>
          <w:sz w:val="23"/>
          <w:szCs w:val="23"/>
          <w:lang w:val="es-ES"/>
        </w:rPr>
        <w:t>General de Hacienda y de la Dirección General de Aduanas del Ministerio de Hacienda, San José, de las nueve horas del día ocho de diciembre de dos mil veintiuno, publicada en </w:t>
      </w:r>
      <w:r w:rsidRPr="00F51661">
        <w:rPr>
          <w:rFonts w:ascii="Arial" w:eastAsia="Times New Roman" w:hAnsi="Arial" w:cs="Arial"/>
          <w:i/>
          <w:iCs/>
          <w:color w:val="707173"/>
          <w:sz w:val="23"/>
          <w:szCs w:val="23"/>
          <w:lang w:val="es-ES"/>
        </w:rPr>
        <w:t>La Gaceta</w:t>
      </w:r>
      <w:r w:rsidRPr="00F51661">
        <w:rPr>
          <w:rFonts w:ascii="Arial" w:eastAsia="Times New Roman" w:hAnsi="Arial" w:cs="Arial"/>
          <w:color w:val="707173"/>
          <w:sz w:val="23"/>
          <w:szCs w:val="23"/>
          <w:rtl/>
        </w:rPr>
        <w:t> </w:t>
      </w:r>
      <w:proofErr w:type="spellStart"/>
      <w:r w:rsidRPr="00F51661">
        <w:rPr>
          <w:rFonts w:ascii="Arial" w:eastAsia="Times New Roman" w:hAnsi="Arial" w:cs="Arial"/>
          <w:color w:val="707173"/>
          <w:sz w:val="23"/>
          <w:szCs w:val="23"/>
          <w:lang w:val="es-ES"/>
        </w:rPr>
        <w:t>Nº</w:t>
      </w:r>
      <w:proofErr w:type="spellEnd"/>
      <w:r w:rsidRPr="00F51661">
        <w:rPr>
          <w:rFonts w:ascii="Arial" w:eastAsia="Times New Roman" w:hAnsi="Arial" w:cs="Arial" w:hint="cs"/>
          <w:color w:val="707173"/>
          <w:sz w:val="23"/>
          <w:szCs w:val="23"/>
          <w:rtl/>
          <w:lang w:bidi="ar-YE"/>
        </w:rPr>
        <w:t> 242 </w:t>
      </w:r>
      <w:r w:rsidRPr="00F51661">
        <w:rPr>
          <w:rFonts w:ascii="Arial" w:eastAsia="Times New Roman" w:hAnsi="Arial" w:cs="Arial"/>
          <w:color w:val="707173"/>
          <w:sz w:val="23"/>
          <w:szCs w:val="23"/>
          <w:lang w:val="es-ES"/>
        </w:rPr>
        <w:t>del jueves 16 diciembre del 2021</w:t>
      </w:r>
      <w:r w:rsidRPr="00F51661">
        <w:rPr>
          <w:rFonts w:ascii="Arial" w:eastAsia="Times New Roman" w:hAnsi="Arial" w:cs="Arial" w:hint="cs"/>
          <w:color w:val="707173"/>
          <w:sz w:val="23"/>
          <w:szCs w:val="23"/>
          <w:rtl/>
          <w:lang w:bidi="ar-YE"/>
        </w:rPr>
        <w:t>.</w:t>
      </w:r>
    </w:p>
    <w:p w14:paraId="65C7ACAC" w14:textId="77777777" w:rsidR="00F51661" w:rsidRPr="00F51661" w:rsidRDefault="00F51661" w:rsidP="000970D2">
      <w:pPr>
        <w:jc w:val="both"/>
        <w:rPr>
          <w:rFonts w:ascii="Arial" w:eastAsia="Times New Roman" w:hAnsi="Arial" w:cs="Arial"/>
          <w:color w:val="707173"/>
          <w:sz w:val="23"/>
          <w:szCs w:val="23"/>
          <w:lang w:val="es-ES"/>
        </w:rPr>
      </w:pPr>
    </w:p>
    <w:p w14:paraId="46597307" w14:textId="38382B89" w:rsidR="00F51661" w:rsidRPr="00F51661" w:rsidRDefault="00F51661" w:rsidP="000970D2">
      <w:pPr>
        <w:jc w:val="both"/>
        <w:rPr>
          <w:rFonts w:ascii="Arial" w:eastAsia="Times New Roman" w:hAnsi="Arial" w:cs="Arial"/>
          <w:color w:val="707173"/>
          <w:sz w:val="23"/>
          <w:szCs w:val="23"/>
          <w:lang w:val="es-ES"/>
        </w:rPr>
      </w:pPr>
      <w:r w:rsidRPr="00F51661">
        <w:rPr>
          <w:rFonts w:ascii="Arial" w:eastAsia="Times New Roman" w:hAnsi="Arial" w:cs="Arial"/>
          <w:color w:val="707173"/>
          <w:sz w:val="23"/>
          <w:szCs w:val="23"/>
          <w:lang w:val="es-ES"/>
        </w:rPr>
        <w:t>Artículo 6º—Rige a partir del 01 de julio de 2022.</w:t>
      </w:r>
    </w:p>
    <w:p w14:paraId="5DEAF392" w14:textId="77777777" w:rsidR="00F51661" w:rsidRPr="00F51661" w:rsidRDefault="00F51661" w:rsidP="000970D2">
      <w:pPr>
        <w:jc w:val="both"/>
        <w:rPr>
          <w:rFonts w:ascii="Arial" w:eastAsia="Times New Roman" w:hAnsi="Arial" w:cs="Arial"/>
          <w:color w:val="707173"/>
          <w:sz w:val="23"/>
          <w:szCs w:val="23"/>
          <w:lang w:val="es-ES"/>
        </w:rPr>
      </w:pPr>
    </w:p>
    <w:p w14:paraId="709EB0D3" w14:textId="77777777" w:rsidR="00F51661" w:rsidRPr="00F51661" w:rsidRDefault="00F51661" w:rsidP="000970D2">
      <w:pPr>
        <w:jc w:val="both"/>
        <w:rPr>
          <w:rFonts w:ascii="Arial" w:eastAsia="Times New Roman" w:hAnsi="Arial" w:cs="Arial"/>
          <w:color w:val="707173"/>
          <w:sz w:val="23"/>
          <w:szCs w:val="23"/>
        </w:rPr>
      </w:pPr>
      <w:r w:rsidRPr="00F51661">
        <w:rPr>
          <w:rFonts w:ascii="Arial" w:eastAsia="Times New Roman" w:hAnsi="Arial" w:cs="Arial"/>
          <w:color w:val="707173"/>
          <w:spacing w:val="-2"/>
          <w:sz w:val="23"/>
          <w:szCs w:val="23"/>
          <w:lang w:val="es-ES"/>
        </w:rPr>
        <w:t>Artículo 7°—Comuníquese y publíquese en el Diario Oficial </w:t>
      </w:r>
      <w:r w:rsidRPr="00F51661">
        <w:rPr>
          <w:rFonts w:ascii="Arial" w:eastAsia="Times New Roman" w:hAnsi="Arial" w:cs="Arial"/>
          <w:i/>
          <w:iCs/>
          <w:color w:val="707173"/>
          <w:spacing w:val="-2"/>
          <w:sz w:val="23"/>
          <w:szCs w:val="23"/>
          <w:lang w:val="es-ES"/>
        </w:rPr>
        <w:t>La Gaceta.—</w:t>
      </w:r>
      <w:r w:rsidRPr="00F51661">
        <w:rPr>
          <w:rFonts w:ascii="Arial" w:eastAsia="Times New Roman" w:hAnsi="Arial" w:cs="Arial"/>
          <w:color w:val="707173"/>
          <w:spacing w:val="-2"/>
          <w:sz w:val="23"/>
          <w:szCs w:val="23"/>
          <w:lang w:val="es-ES"/>
        </w:rPr>
        <w:t xml:space="preserve">Gerardo Bolaños Alvarado, Director General de Aduanas.—Rudolf </w:t>
      </w:r>
      <w:proofErr w:type="spellStart"/>
      <w:r w:rsidRPr="00F51661">
        <w:rPr>
          <w:rFonts w:ascii="Arial" w:eastAsia="Times New Roman" w:hAnsi="Arial" w:cs="Arial"/>
          <w:color w:val="707173"/>
          <w:spacing w:val="-2"/>
          <w:sz w:val="23"/>
          <w:szCs w:val="23"/>
          <w:lang w:val="es-ES"/>
        </w:rPr>
        <w:t>Lücke</w:t>
      </w:r>
      <w:proofErr w:type="spellEnd"/>
      <w:r w:rsidRPr="00F51661">
        <w:rPr>
          <w:rFonts w:ascii="Arial" w:eastAsia="Times New Roman" w:hAnsi="Arial" w:cs="Arial"/>
          <w:color w:val="707173"/>
          <w:spacing w:val="-2"/>
          <w:sz w:val="23"/>
          <w:szCs w:val="23"/>
          <w:lang w:val="es-ES"/>
        </w:rPr>
        <w:t xml:space="preserve"> Bolaños, Director General de Hacienda.—Revisado y aprobado por Ingrid Ramón Sánchez, Directora, Dirección de Gestión Técnica, Dirección General de Aduanas.—Juan Carlos Brenes </w:t>
      </w:r>
      <w:proofErr w:type="spellStart"/>
      <w:r w:rsidRPr="00F51661">
        <w:rPr>
          <w:rFonts w:ascii="Arial" w:eastAsia="Times New Roman" w:hAnsi="Arial" w:cs="Arial"/>
          <w:color w:val="707173"/>
          <w:spacing w:val="-2"/>
          <w:sz w:val="23"/>
          <w:szCs w:val="23"/>
          <w:lang w:val="es-ES"/>
        </w:rPr>
        <w:t>Brenes</w:t>
      </w:r>
      <w:proofErr w:type="spellEnd"/>
      <w:r w:rsidRPr="00F51661">
        <w:rPr>
          <w:rFonts w:ascii="Arial" w:eastAsia="Times New Roman" w:hAnsi="Arial" w:cs="Arial"/>
          <w:color w:val="707173"/>
          <w:spacing w:val="-2"/>
          <w:sz w:val="23"/>
          <w:szCs w:val="23"/>
          <w:lang w:val="es-ES"/>
        </w:rPr>
        <w:t xml:space="preserve">, Director de División, Dirección General de Hacienda.—1 vez.—O. </w:t>
      </w:r>
      <w:r w:rsidRPr="00F51661">
        <w:rPr>
          <w:rFonts w:ascii="Arial" w:eastAsia="Times New Roman" w:hAnsi="Arial" w:cs="Arial"/>
          <w:color w:val="707173"/>
          <w:spacing w:val="-2"/>
          <w:sz w:val="23"/>
          <w:szCs w:val="23"/>
        </w:rPr>
        <w:t>C. N° 4600062536.—</w:t>
      </w:r>
      <w:proofErr w:type="spellStart"/>
      <w:r w:rsidRPr="00F51661">
        <w:rPr>
          <w:rFonts w:ascii="Arial" w:eastAsia="Times New Roman" w:hAnsi="Arial" w:cs="Arial"/>
          <w:color w:val="707173"/>
          <w:spacing w:val="-2"/>
          <w:sz w:val="23"/>
          <w:szCs w:val="23"/>
        </w:rPr>
        <w:t>Solicitud</w:t>
      </w:r>
      <w:proofErr w:type="spellEnd"/>
      <w:r w:rsidRPr="00F51661">
        <w:rPr>
          <w:rFonts w:ascii="Arial" w:eastAsia="Times New Roman" w:hAnsi="Arial" w:cs="Arial"/>
          <w:color w:val="707173"/>
          <w:spacing w:val="-2"/>
          <w:sz w:val="23"/>
          <w:szCs w:val="23"/>
        </w:rPr>
        <w:t xml:space="preserve"> N° 357556.—( IN2022656214 ).</w:t>
      </w:r>
    </w:p>
    <w:p w14:paraId="3FDB3F4A" w14:textId="77777777" w:rsidR="00F51661" w:rsidRDefault="00F51661"/>
    <w:sectPr w:rsidR="00F516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661"/>
    <w:rsid w:val="000970D2"/>
    <w:rsid w:val="00F51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137B82"/>
  <w15:chartTrackingRefBased/>
  <w15:docId w15:val="{C917A367-2C9B-5642-9E4E-AC96DCDB3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51661"/>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51661"/>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F51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029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977</Words>
  <Characters>5572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Garita</dc:creator>
  <cp:keywords/>
  <dc:description/>
  <cp:lastModifiedBy>Ronald Garita</cp:lastModifiedBy>
  <cp:revision>1</cp:revision>
  <dcterms:created xsi:type="dcterms:W3CDTF">2022-06-24T16:07:00Z</dcterms:created>
  <dcterms:modified xsi:type="dcterms:W3CDTF">2022-06-24T16:27:00Z</dcterms:modified>
</cp:coreProperties>
</file>