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F5C" w:rsidRPr="00D93F5C" w:rsidRDefault="00D93F5C" w:rsidP="00D93F5C">
      <w:pPr>
        <w:spacing w:after="0" w:line="240" w:lineRule="auto"/>
        <w:ind w:left="283" w:hanging="283"/>
        <w:jc w:val="right"/>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
        </w:rPr>
        <w:t>DGT-1574-2020</w:t>
      </w:r>
    </w:p>
    <w:p w:rsidR="00D93F5C" w:rsidRPr="00D93F5C" w:rsidRDefault="00D93F5C" w:rsidP="00D93F5C">
      <w:pPr>
        <w:spacing w:after="0" w:line="240" w:lineRule="auto"/>
        <w:ind w:left="284" w:hanging="284"/>
        <w:jc w:val="right"/>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San José, 21 de diciembre 2020</w:t>
      </w:r>
    </w:p>
    <w:p w:rsidR="00D93F5C" w:rsidRPr="00D93F5C" w:rsidRDefault="00D93F5C" w:rsidP="00D93F5C">
      <w:pPr>
        <w:spacing w:after="0" w:line="240" w:lineRule="auto"/>
        <w:ind w:left="284" w:hanging="284"/>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ind w:left="283" w:hanging="283"/>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tbl>
      <w:tblPr>
        <w:tblW w:w="9214" w:type="dxa"/>
        <w:tblInd w:w="108" w:type="dxa"/>
        <w:tblCellMar>
          <w:left w:w="0" w:type="dxa"/>
          <w:right w:w="0" w:type="dxa"/>
        </w:tblCellMar>
        <w:tblLook w:val="04A0" w:firstRow="1" w:lastRow="0" w:firstColumn="1" w:lastColumn="0" w:noHBand="0" w:noVBand="1"/>
      </w:tblPr>
      <w:tblGrid>
        <w:gridCol w:w="5245"/>
        <w:gridCol w:w="3969"/>
      </w:tblGrid>
      <w:tr w:rsidR="00D93F5C" w:rsidRPr="00D93F5C" w:rsidTr="00D93F5C">
        <w:tc>
          <w:tcPr>
            <w:tcW w:w="5245" w:type="dxa"/>
            <w:tcMar>
              <w:top w:w="0" w:type="dxa"/>
              <w:left w:w="108" w:type="dxa"/>
              <w:bottom w:w="0" w:type="dxa"/>
              <w:right w:w="108" w:type="dxa"/>
            </w:tcMar>
            <w:hideMark/>
          </w:tcPr>
          <w:p w:rsidR="00D93F5C" w:rsidRPr="00D93F5C" w:rsidRDefault="00D93F5C" w:rsidP="00D93F5C">
            <w:pPr>
              <w:spacing w:after="0" w:line="240" w:lineRule="auto"/>
              <w:ind w:left="-108"/>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Señor</w:t>
            </w:r>
          </w:p>
          <w:p w:rsidR="00D93F5C" w:rsidRPr="00D93F5C" w:rsidRDefault="00D93F5C" w:rsidP="00D93F5C">
            <w:pPr>
              <w:spacing w:after="0" w:line="240" w:lineRule="auto"/>
              <w:ind w:left="-108"/>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Luis Fernando Campos Montes</w:t>
            </w:r>
          </w:p>
          <w:p w:rsidR="00D93F5C" w:rsidRPr="00D93F5C" w:rsidRDefault="00D93F5C" w:rsidP="00D93F5C">
            <w:pPr>
              <w:spacing w:after="0" w:line="240" w:lineRule="auto"/>
              <w:ind w:left="-108"/>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Gerente General</w:t>
            </w:r>
          </w:p>
          <w:p w:rsidR="00D93F5C" w:rsidRPr="00D93F5C" w:rsidRDefault="00D93F5C" w:rsidP="00D93F5C">
            <w:pPr>
              <w:spacing w:after="0" w:line="240" w:lineRule="auto"/>
              <w:ind w:left="-108"/>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Instituto Nacional de Seguros</w:t>
            </w:r>
          </w:p>
          <w:p w:rsidR="00D93F5C" w:rsidRPr="00D93F5C" w:rsidRDefault="00D93F5C" w:rsidP="00D93F5C">
            <w:pPr>
              <w:spacing w:after="0" w:line="240" w:lineRule="auto"/>
              <w:ind w:left="-108"/>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Presente</w:t>
            </w:r>
          </w:p>
        </w:tc>
        <w:tc>
          <w:tcPr>
            <w:tcW w:w="3969" w:type="dxa"/>
            <w:tcMar>
              <w:top w:w="0" w:type="dxa"/>
              <w:left w:w="108" w:type="dxa"/>
              <w:bottom w:w="0" w:type="dxa"/>
              <w:right w:w="108" w:type="dxa"/>
            </w:tcMar>
            <w:hideMark/>
          </w:tcPr>
          <w:p w:rsidR="00D93F5C" w:rsidRPr="00D93F5C" w:rsidRDefault="00D93F5C" w:rsidP="00D93F5C">
            <w:pPr>
              <w:spacing w:after="0" w:line="240" w:lineRule="auto"/>
              <w:ind w:right="454"/>
              <w:jc w:val="both"/>
              <w:rPr>
                <w:rFonts w:ascii="Cambria" w:eastAsia="Times New Roman" w:hAnsi="Cambria" w:cs="Times New Roman"/>
                <w:sz w:val="24"/>
                <w:szCs w:val="24"/>
                <w:lang w:val="es-ES"/>
              </w:rPr>
            </w:pPr>
            <w:r w:rsidRPr="00D93F5C">
              <w:rPr>
                <w:rFonts w:ascii="Arial Narrow" w:eastAsia="Times New Roman" w:hAnsi="Arial Narrow" w:cs="Times New Roman"/>
                <w:b/>
                <w:bCs/>
                <w:sz w:val="24"/>
                <w:szCs w:val="24"/>
                <w:lang w:val="es-ES_tradnl"/>
              </w:rPr>
              <w:t>Notificaciones:</w:t>
            </w:r>
          </w:p>
          <w:p w:rsidR="00D93F5C" w:rsidRPr="00D93F5C" w:rsidRDefault="00D93F5C" w:rsidP="00D93F5C">
            <w:pPr>
              <w:spacing w:after="0" w:line="240" w:lineRule="auto"/>
              <w:ind w:right="454"/>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William Emilio Fernández</w:t>
            </w:r>
          </w:p>
          <w:p w:rsidR="00D93F5C" w:rsidRPr="00D93F5C" w:rsidRDefault="00D93F5C" w:rsidP="00D93F5C">
            <w:pPr>
              <w:spacing w:after="0" w:line="240" w:lineRule="auto"/>
              <w:ind w:right="454"/>
              <w:jc w:val="both"/>
              <w:rPr>
                <w:rFonts w:ascii="Cambria" w:eastAsia="Times New Roman" w:hAnsi="Cambria" w:cs="Times New Roman"/>
                <w:sz w:val="24"/>
                <w:szCs w:val="24"/>
                <w:lang w:val="es-ES"/>
              </w:rPr>
            </w:pPr>
            <w:r w:rsidRPr="00D93F5C">
              <w:rPr>
                <w:rFonts w:ascii="Cambria" w:eastAsia="Times New Roman" w:hAnsi="Cambria" w:cs="Times New Roman"/>
                <w:sz w:val="24"/>
                <w:szCs w:val="24"/>
                <w:lang w:val="es-ES_tradnl"/>
              </w:rPr>
              <w:fldChar w:fldCharType="begin"/>
            </w:r>
            <w:r w:rsidRPr="00D93F5C">
              <w:rPr>
                <w:rFonts w:ascii="Cambria" w:eastAsia="Times New Roman" w:hAnsi="Cambria" w:cs="Times New Roman"/>
                <w:sz w:val="24"/>
                <w:szCs w:val="24"/>
                <w:lang w:val="es-ES_tradnl"/>
              </w:rPr>
              <w:instrText xml:space="preserve"> HYPERLINK "mailto:wifernandezh@grupoins.com" </w:instrText>
            </w:r>
            <w:r w:rsidRPr="00D93F5C">
              <w:rPr>
                <w:rFonts w:ascii="Cambria" w:eastAsia="Times New Roman" w:hAnsi="Cambria" w:cs="Times New Roman"/>
                <w:sz w:val="24"/>
                <w:szCs w:val="24"/>
                <w:lang w:val="es-ES_tradnl"/>
              </w:rPr>
              <w:fldChar w:fldCharType="separate"/>
            </w:r>
            <w:r w:rsidRPr="00D93F5C">
              <w:rPr>
                <w:rFonts w:ascii="Arial Narrow" w:eastAsia="Times New Roman" w:hAnsi="Arial Narrow" w:cs="Times New Roman"/>
                <w:color w:val="0000FF"/>
                <w:sz w:val="24"/>
                <w:szCs w:val="24"/>
                <w:u w:val="single"/>
                <w:lang w:val="es-CR"/>
              </w:rPr>
              <w:t> [...] @grupoins.com</w:t>
            </w:r>
            <w:r w:rsidRPr="00D93F5C">
              <w:rPr>
                <w:rFonts w:ascii="Cambria" w:eastAsia="Times New Roman" w:hAnsi="Cambria" w:cs="Times New Roman"/>
                <w:sz w:val="24"/>
                <w:szCs w:val="24"/>
                <w:lang w:val="es-ES_tradnl"/>
              </w:rPr>
              <w:fldChar w:fldCharType="end"/>
            </w:r>
          </w:p>
          <w:p w:rsidR="00D93F5C" w:rsidRPr="00D93F5C" w:rsidRDefault="00D93F5C" w:rsidP="00D93F5C">
            <w:pPr>
              <w:spacing w:after="0" w:line="240" w:lineRule="auto"/>
              <w:ind w:right="454"/>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Luis Diego Ugarte</w:t>
            </w:r>
          </w:p>
          <w:p w:rsidR="00D93F5C" w:rsidRPr="00D93F5C" w:rsidRDefault="00D93F5C" w:rsidP="00D93F5C">
            <w:pPr>
              <w:spacing w:after="0" w:line="240" w:lineRule="auto"/>
              <w:ind w:right="454"/>
              <w:jc w:val="both"/>
              <w:rPr>
                <w:rFonts w:ascii="Cambria" w:eastAsia="Times New Roman" w:hAnsi="Cambria" w:cs="Times New Roman"/>
                <w:sz w:val="24"/>
                <w:szCs w:val="24"/>
                <w:lang w:val="es-ES"/>
              </w:rPr>
            </w:pPr>
            <w:r w:rsidRPr="00D93F5C">
              <w:rPr>
                <w:rFonts w:ascii="Cambria" w:eastAsia="Times New Roman" w:hAnsi="Cambria" w:cs="Times New Roman"/>
                <w:sz w:val="24"/>
                <w:szCs w:val="24"/>
                <w:lang w:val="es-ES_tradnl"/>
              </w:rPr>
              <w:fldChar w:fldCharType="begin"/>
            </w:r>
            <w:r w:rsidRPr="00D93F5C">
              <w:rPr>
                <w:rFonts w:ascii="Cambria" w:eastAsia="Times New Roman" w:hAnsi="Cambria" w:cs="Times New Roman"/>
                <w:sz w:val="24"/>
                <w:szCs w:val="24"/>
                <w:lang w:val="es-ES_tradnl"/>
              </w:rPr>
              <w:instrText xml:space="preserve"> HYPERLINK "mailto:lugartea@grupoins.com" </w:instrText>
            </w:r>
            <w:r w:rsidRPr="00D93F5C">
              <w:rPr>
                <w:rFonts w:ascii="Cambria" w:eastAsia="Times New Roman" w:hAnsi="Cambria" w:cs="Times New Roman"/>
                <w:sz w:val="24"/>
                <w:szCs w:val="24"/>
                <w:lang w:val="es-ES_tradnl"/>
              </w:rPr>
              <w:fldChar w:fldCharType="separate"/>
            </w:r>
            <w:r w:rsidRPr="00D93F5C">
              <w:rPr>
                <w:rFonts w:ascii="Arial Narrow" w:eastAsia="Times New Roman" w:hAnsi="Arial Narrow" w:cs="Times New Roman"/>
                <w:color w:val="0000FF"/>
                <w:sz w:val="24"/>
                <w:szCs w:val="24"/>
                <w:u w:val="single"/>
                <w:lang w:val="es-CR"/>
              </w:rPr>
              <w:t> [...] @grupoins.com</w:t>
            </w:r>
            <w:r w:rsidRPr="00D93F5C">
              <w:rPr>
                <w:rFonts w:ascii="Cambria" w:eastAsia="Times New Roman" w:hAnsi="Cambria" w:cs="Times New Roman"/>
                <w:sz w:val="24"/>
                <w:szCs w:val="24"/>
                <w:lang w:val="es-ES_tradnl"/>
              </w:rPr>
              <w:fldChar w:fldCharType="end"/>
            </w:r>
          </w:p>
          <w:p w:rsidR="00D93F5C" w:rsidRPr="00D93F5C" w:rsidRDefault="00D93F5C" w:rsidP="00D93F5C">
            <w:pPr>
              <w:spacing w:after="0" w:line="240" w:lineRule="auto"/>
              <w:ind w:right="454"/>
              <w:jc w:val="both"/>
              <w:rPr>
                <w:rFonts w:ascii="Cambria" w:eastAsia="Times New Roman" w:hAnsi="Cambria" w:cs="Times New Roman"/>
                <w:sz w:val="24"/>
                <w:szCs w:val="24"/>
                <w:lang w:val="es-ES"/>
              </w:rPr>
            </w:pPr>
            <w:r w:rsidRPr="00D93F5C">
              <w:rPr>
                <w:rFonts w:ascii="Arial Narrow" w:eastAsia="Times New Roman" w:hAnsi="Arial Narrow" w:cs="Times New Roman"/>
                <w:sz w:val="24"/>
                <w:szCs w:val="24"/>
                <w:lang w:val="es-ES"/>
              </w:rPr>
              <w:t>María Jesús Nájera</w:t>
            </w:r>
          </w:p>
          <w:p w:rsidR="00D93F5C" w:rsidRPr="00D93F5C" w:rsidRDefault="00D93F5C" w:rsidP="00D93F5C">
            <w:pPr>
              <w:spacing w:after="0" w:line="240" w:lineRule="auto"/>
              <w:ind w:right="454"/>
              <w:jc w:val="both"/>
              <w:rPr>
                <w:rFonts w:ascii="Cambria" w:eastAsia="Times New Roman" w:hAnsi="Cambria" w:cs="Times New Roman"/>
                <w:sz w:val="24"/>
                <w:szCs w:val="24"/>
              </w:rPr>
            </w:pPr>
            <w:r w:rsidRPr="00D93F5C">
              <w:rPr>
                <w:rFonts w:ascii="Cambria" w:eastAsia="Times New Roman" w:hAnsi="Cambria" w:cs="Times New Roman"/>
                <w:sz w:val="24"/>
                <w:szCs w:val="24"/>
                <w:lang w:val="es-ES_tradnl"/>
              </w:rPr>
              <w:fldChar w:fldCharType="begin"/>
            </w:r>
            <w:r w:rsidRPr="00D93F5C">
              <w:rPr>
                <w:rFonts w:ascii="Cambria" w:eastAsia="Times New Roman" w:hAnsi="Cambria" w:cs="Times New Roman"/>
                <w:sz w:val="24"/>
                <w:szCs w:val="24"/>
                <w:lang w:val="es-ES_tradnl"/>
              </w:rPr>
              <w:instrText xml:space="preserve"> HYPERLINK "mailto:mnajerac@grupoins.com" </w:instrText>
            </w:r>
            <w:r w:rsidRPr="00D93F5C">
              <w:rPr>
                <w:rFonts w:ascii="Cambria" w:eastAsia="Times New Roman" w:hAnsi="Cambria" w:cs="Times New Roman"/>
                <w:sz w:val="24"/>
                <w:szCs w:val="24"/>
                <w:lang w:val="es-ES_tradnl"/>
              </w:rPr>
              <w:fldChar w:fldCharType="separate"/>
            </w:r>
            <w:r w:rsidRPr="00D93F5C">
              <w:rPr>
                <w:rFonts w:ascii="Arial Narrow" w:eastAsia="Times New Roman" w:hAnsi="Arial Narrow" w:cs="Times New Roman"/>
                <w:color w:val="0000FF"/>
                <w:sz w:val="24"/>
                <w:szCs w:val="24"/>
                <w:u w:val="single"/>
                <w:lang w:val="es-CR"/>
              </w:rPr>
              <w:t> [...] @grupoins.com</w:t>
            </w:r>
            <w:r w:rsidRPr="00D93F5C">
              <w:rPr>
                <w:rFonts w:ascii="Cambria" w:eastAsia="Times New Roman" w:hAnsi="Cambria" w:cs="Times New Roman"/>
                <w:sz w:val="24"/>
                <w:szCs w:val="24"/>
                <w:lang w:val="es-ES_tradnl"/>
              </w:rPr>
              <w:fldChar w:fldCharType="end"/>
            </w:r>
          </w:p>
          <w:p w:rsidR="00D93F5C" w:rsidRPr="00D93F5C" w:rsidRDefault="00D93F5C" w:rsidP="00D93F5C">
            <w:pPr>
              <w:spacing w:after="0" w:line="240" w:lineRule="auto"/>
              <w:ind w:right="454"/>
              <w:jc w:val="both"/>
              <w:rPr>
                <w:rFonts w:ascii="Cambria" w:eastAsia="Times New Roman" w:hAnsi="Cambria" w:cs="Times New Roman"/>
                <w:sz w:val="24"/>
                <w:szCs w:val="24"/>
              </w:rPr>
            </w:pPr>
            <w:r w:rsidRPr="00D93F5C">
              <w:rPr>
                <w:rFonts w:ascii="Arial Narrow" w:eastAsia="Times New Roman" w:hAnsi="Arial Narrow" w:cs="Times New Roman"/>
                <w:sz w:val="24"/>
                <w:szCs w:val="24"/>
              </w:rPr>
              <w:t> </w:t>
            </w:r>
          </w:p>
        </w:tc>
      </w:tr>
    </w:tbl>
    <w:p w:rsidR="00D93F5C" w:rsidRPr="00D93F5C" w:rsidRDefault="00D93F5C" w:rsidP="00D93F5C">
      <w:pPr>
        <w:spacing w:after="0" w:line="240" w:lineRule="auto"/>
        <w:jc w:val="both"/>
        <w:rPr>
          <w:rFonts w:ascii="Cambria" w:eastAsia="Times New Roman" w:hAnsi="Cambria" w:cs="Times New Roman"/>
          <w:color w:val="000000"/>
          <w:sz w:val="27"/>
          <w:szCs w:val="27"/>
        </w:rPr>
      </w:pPr>
      <w:r w:rsidRPr="00D93F5C">
        <w:rPr>
          <w:rFonts w:ascii="Arial Narrow" w:eastAsia="Times New Roman" w:hAnsi="Arial Narrow" w:cs="Times New Roman"/>
          <w:b/>
          <w:bCs/>
          <w:color w:val="000000"/>
          <w:sz w:val="27"/>
          <w:szCs w:val="27"/>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
        </w:rPr>
        <w:t>Asunto: Consulta tributaria fundamentada en el artículo 119 del Código de Normas y Procedimientos Tributarios.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
        </w:rPr>
        <w:t> </w:t>
      </w:r>
    </w:p>
    <w:p w:rsidR="00D93F5C" w:rsidRPr="00D93F5C" w:rsidRDefault="00D93F5C" w:rsidP="00D93F5C">
      <w:pPr>
        <w:spacing w:after="0" w:line="240" w:lineRule="auto"/>
        <w:ind w:left="283" w:hanging="283"/>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Estimado señor:</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En atención a sus oficios Nº G-04386-2020, G-04382-2020 y G-04385-2020, presentados ante esta Dirección General, vía correo electrónico, el 3 de noviembre de 2020, donde se solicita dar respuesta a varias inquietudes con fundamento en el instituto de la consulta tributaria establecida en el artículo 119 del Código de Normas y Procedimientos Tributarios (en adelante Código) y los artículos 60 al 68 del Reglamento de Procedimiento Tributario (RPT), se procede a realizar el análisis jurídico respectivo.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720" w:hanging="720"/>
        <w:jc w:val="both"/>
        <w:rPr>
          <w:rFonts w:ascii="Cambria" w:eastAsia="Times New Roman" w:hAnsi="Cambria" w:cs="Times New Roman"/>
          <w:color w:val="000000"/>
          <w:sz w:val="27"/>
          <w:szCs w:val="27"/>
          <w:lang w:val="es-ES"/>
        </w:rPr>
      </w:pP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I.</w:t>
      </w: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CUADRO FÁCTICO</w:t>
      </w:r>
    </w:p>
    <w:p w:rsidR="00D93F5C" w:rsidRPr="00D93F5C" w:rsidRDefault="00D93F5C" w:rsidP="00D93F5C">
      <w:pPr>
        <w:spacing w:after="0" w:line="240" w:lineRule="auto"/>
        <w:ind w:left="283" w:hanging="283"/>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Expone en uno de sus escritos (G-04385-2020) que la consulta se refiere a la forma correcta en que el INS debe generar la facturación electrónica en pólizas que utilizan la modalidad cuenta corriente, para lograr dotarlo de certeza jurídica en su actuación.</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Señala que el INS en procura de adecuarse y someterse a la regulación de comprobantes electrónicos e incorporación del Impuesto al Valor Agregado (IVA) en el servicio de aseguramiento que presta, requiere someter a consideración de la Administración Tributaria, la viabilidad de la facturación, según se genere cada póliza hija, bajo la modalidad de cuenta corriente, que se detalla de seguido.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xml:space="preserve">Manifiesta que con la promulgación de la Ley N°9635 del 3 de diciembre de 2018, denominada “Ley de Fortalecimiento de las Finanzas Públicas” (LFFP) se establece la obligación de </w:t>
      </w:r>
      <w:r w:rsidRPr="00D93F5C">
        <w:rPr>
          <w:rFonts w:ascii="Arial Narrow" w:eastAsia="Times New Roman" w:hAnsi="Arial Narrow" w:cs="Times New Roman"/>
          <w:color w:val="000000"/>
          <w:sz w:val="27"/>
          <w:szCs w:val="27"/>
          <w:lang w:val="es-ES_tradnl"/>
        </w:rPr>
        <w:lastRenderedPageBreak/>
        <w:t>implementar el cobro del IVA por la prestación de los servicios utilizados o generados en territorio costarricense, en cuanto al servicio de aseguramiento prestado por el INS.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Agrega </w:t>
      </w:r>
      <w:proofErr w:type="gramStart"/>
      <w:r w:rsidRPr="00D93F5C">
        <w:rPr>
          <w:rFonts w:ascii="Arial Narrow" w:eastAsia="Times New Roman" w:hAnsi="Arial Narrow" w:cs="Times New Roman"/>
          <w:color w:val="000000"/>
          <w:sz w:val="27"/>
          <w:szCs w:val="27"/>
          <w:lang w:val="es-ES_tradnl"/>
        </w:rPr>
        <w:t>que</w:t>
      </w:r>
      <w:proofErr w:type="gramEnd"/>
      <w:r w:rsidRPr="00D93F5C">
        <w:rPr>
          <w:rFonts w:ascii="Arial Narrow" w:eastAsia="Times New Roman" w:hAnsi="Arial Narrow" w:cs="Times New Roman"/>
          <w:color w:val="000000"/>
          <w:sz w:val="27"/>
          <w:szCs w:val="27"/>
          <w:lang w:val="es-ES_tradnl"/>
        </w:rPr>
        <w:t> con este tipo de pólizas, al cliente se le ofrece una póliza madre, en la cual realiza un depósito de prima inicial, determinado por las proyecciones de aseguramiento que el cliente prevé va a requerir durante el periodo póliza, que se materializará mediante la emisión de pólizas hijas durante la vigencia de la póliza madre. Para cada aseguramiento que requiera el cliente, durante la vigencia de la póliza, el INS lo rebaja del monto inicialmente pagado como prima, por el cliente; si al finalizar el periodo de vigencia de la póliza, hubiera un saldo a favor del cliente, éste se le devuelve.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Por esta razón, al recibir el INS el depósito de prima inicial de la póliza madre, no se emite factura electrónica, debido a que por la dinámica del negocio es claro que hasta ese momento no se ha realizado ningún negocio de seguros, porque no se han emitido pólizas hijas.  Es hasta la emisión de las pólizas hijas que el hecho generador del IVA se materializa, según lo dispuesto en el artículo 3 inciso 3, que reza: </w:t>
      </w:r>
    </w:p>
    <w:p w:rsidR="00D93F5C" w:rsidRPr="00D93F5C" w:rsidRDefault="00D93F5C" w:rsidP="00D93F5C">
      <w:pPr>
        <w:spacing w:after="0" w:line="240" w:lineRule="auto"/>
        <w:rPr>
          <w:rFonts w:ascii="Cambria" w:eastAsia="Times New Roman" w:hAnsi="Cambria" w:cs="Times New Roman"/>
          <w:color w:val="000000"/>
          <w:sz w:val="27"/>
          <w:szCs w:val="27"/>
          <w:lang w:val="es-ES"/>
        </w:rPr>
      </w:pPr>
      <w:r w:rsidRPr="00D93F5C">
        <w:rPr>
          <w:rFonts w:ascii="Arial" w:eastAsia="Times New Roman" w:hAnsi="Arial" w:cs="Arial"/>
          <w:i/>
          <w:iCs/>
          <w:color w:val="000000"/>
          <w:lang w:val="es-ES"/>
        </w:rPr>
        <w:t> </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“Artículo 3- Momento en que ocurre el hecho generador. El hecho generador del impuesto ocurre:</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3. En la prestación de servicios, en el momento de la facturación o de la prestación del servicio, el acto que se realice primero.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En un segundo escenario y bajo otro documento de consulta (G-04382-2020), el INS se refiere al tratamiento que debe dar a los casos que ellos denominan “casos no asegurados”, por motivo del Seguro de Riesgos del Trabajo (RT), cuando se da la atención médica por parte del INS de trabajadores asalariados de diferentes patronos, no inscritos por éstos últimos.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Al respecto exponen </w:t>
      </w:r>
      <w:proofErr w:type="gramStart"/>
      <w:r w:rsidRPr="00D93F5C">
        <w:rPr>
          <w:rFonts w:ascii="Arial Narrow" w:eastAsia="Times New Roman" w:hAnsi="Arial Narrow" w:cs="Times New Roman"/>
          <w:color w:val="000000"/>
          <w:sz w:val="27"/>
          <w:szCs w:val="27"/>
          <w:lang w:val="es-ES_tradnl"/>
        </w:rPr>
        <w:t>que</w:t>
      </w:r>
      <w:proofErr w:type="gramEnd"/>
      <w:r w:rsidRPr="00D93F5C">
        <w:rPr>
          <w:rFonts w:ascii="Arial Narrow" w:eastAsia="Times New Roman" w:hAnsi="Arial Narrow" w:cs="Times New Roman"/>
          <w:color w:val="000000"/>
          <w:sz w:val="27"/>
          <w:szCs w:val="27"/>
          <w:lang w:val="es-ES_tradnl"/>
        </w:rPr>
        <w:t> por ley, el INS tiene el deber legal de atender a los trabajadores que sufran accidentes o enfermedad laboral, producto de la función que éstos realizan en sus empresas, estén o no incorporados en la planilla de seguro de RT que los patronos presentan ante el INS.  En estos casos el INS realiza la atención completa de los trabajadores que requieren atención médica, incluyendo su rehabilitación y posteriormente realiza el cobro de estos montos al patrono.  Puede suceder que tales trabajadores sean atendidos por la Caja Costarricense del Seguro Social (CCSS), quien les brinda la atención primaria y luego genera el cobro de dicha factura al INS.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Entonces, explica, que el INS garantiza la atención médica y de rehabilitación a los trabajadores accidentales o por enfermedad laboral y luego se genera un cobro al patrono de éstos, según lo dispuesto en los artículos 201, 206, 207 y 232 del Código de Trabajo (CT).</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De acuerdo con lo establecido en el artículo 9 inciso 1 de la Ley N°6826 denominada “Ley del Impuesto sobre el Valor Agregado”, la CCSS no se encuentra sujeta al impuesto de cita, por lo cual la factura que emite al INS para el cobro de la atención brindada a los lesionados por RT no contiene IVA, mientras que el cobro por la atención médica que brinda el INS y que remite al patrono contiene el importe correspondiente únicamente a los gastos efectivamente incurridos por el INS, sin incluir el IVA.</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Bajo un tercer escenario (oficio de consulta N° G-04386-2020) se consulta sobre la aplicación correcta de la normativa tributaria, como figura inmersa dentro de un Grupo Financiero, en cuanto a un Convenio Marco que posee el INS, a través del cual el INS cobra a sus subsidiarias por el uso de algún contrato suscrito por el INS.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Manifiesta que mediante la Ley de Contratación Administrativa N°7494, el INS adquiere bienes y servicios, por medio de la figura del Convenio Marco, dispuesto en el Decreto Ejecutivo N°33411, denominado Reglamento a la Ley de Contratación Administrativa, permitiendo su regulación, en los artículos 115 y siguientes que, una entidad realice un procedimiento de contratación, mediante licitación pública, la cual puede ser utilizada en fase de ejecución, por las partes suscribientes del convenio marco.  Bajo ese escenario, el Instituto realiza la tramitación del convenio marco, emite la orden de compra y el contratista remite la factura electrónica a nombre del Instituto.  Una vez recibido a satisfacción el bien o el servicio, el INS paga la factura y posteriormente emite un oficio a cada empresa subsidiaria del grupo económico, con la indicación de la proporción consumida o entregada a cada una, requiriendo el pago correspondiente, mediante la figura del reembolso, no de la venta de bienes o servicios, porque el INS no está haciendo una venta, sino que está consolidando el pago de un proveedor, incluyendo la parte que corresponde a cada subsidiaria, a quienes requiere la devolución proporcional de lo pagado por los bienes y servicios que correspondan a éstas.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Para efectos de acreditar el gasto deducible y el crédito fiscal, el INS contaría con la factura emitida a su nombre.  Sin embargo, para ambos efectos, el INS utiliza solo el porcentaje real cancelado por la entidad correspondiente a bienes y servicios consumidos, sin considerar el crédito ni el gasto asociado a la proporción de bienes y servicios consumidos por las subsidiarias. Y cada subsidiaria tendría copia del expediente completo que comprende: 1. Orden de compra por la totalidad del servicio o bien provisto. 2. Acta de entrega del servicio o bien adquirido por cada Subsidiaria. 3. Copia de la factura electrónica emitida a nombre del Instituto. 4. Oficio del Instituto, requiriendo el pago proporcional de lo consumido por cada subsidiaria. Transferencia bancaria de la subsidiaria del Instituto. 6. Si los servicios son cobrados por horas se les solicita a los proveedores indicar en la factura, la cantidad de horas dedicadas a cada subsidiaria y lo consumido por el Instituto.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720" w:hanging="720"/>
        <w:jc w:val="both"/>
        <w:rPr>
          <w:rFonts w:ascii="Cambria" w:eastAsia="Times New Roman" w:hAnsi="Cambria" w:cs="Times New Roman"/>
          <w:color w:val="000000"/>
          <w:sz w:val="27"/>
          <w:szCs w:val="27"/>
          <w:lang w:val="es-ES"/>
        </w:rPr>
      </w:pP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II.</w:t>
      </w: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CONSULTAS CONCRETAS</w:t>
      </w:r>
    </w:p>
    <w:p w:rsidR="00D93F5C" w:rsidRPr="00D93F5C" w:rsidRDefault="00D93F5C" w:rsidP="00D93F5C">
      <w:pPr>
        <w:spacing w:after="0" w:line="240" w:lineRule="auto"/>
        <w:ind w:left="720"/>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_tradnl"/>
        </w:rPr>
        <w:t> </w:t>
      </w:r>
    </w:p>
    <w:p w:rsidR="00D93F5C" w:rsidRPr="00D93F5C" w:rsidRDefault="00D93F5C" w:rsidP="00D93F5C">
      <w:pPr>
        <w:spacing w:after="0" w:line="240" w:lineRule="auto"/>
        <w:ind w:left="283" w:hanging="283"/>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Concretamente consultan:</w:t>
      </w:r>
    </w:p>
    <w:p w:rsidR="00D93F5C" w:rsidRPr="00D93F5C" w:rsidRDefault="00D93F5C" w:rsidP="00D93F5C">
      <w:pPr>
        <w:spacing w:after="0" w:line="240" w:lineRule="auto"/>
        <w:rPr>
          <w:rFonts w:ascii="Cambria" w:eastAsia="Times New Roman" w:hAnsi="Cambria" w:cs="Times New Roman"/>
          <w:color w:val="000000"/>
          <w:sz w:val="27"/>
          <w:szCs w:val="27"/>
          <w:lang w:val="es-ES"/>
        </w:rPr>
      </w:pPr>
      <w:r w:rsidRPr="00D93F5C">
        <w:rPr>
          <w:rFonts w:ascii="Arial" w:eastAsia="Times New Roman" w:hAnsi="Arial" w:cs="Arial"/>
          <w:color w:val="000000"/>
          <w:sz w:val="27"/>
          <w:szCs w:val="27"/>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1)</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¿Es factible en una póliza con la modalidad de cuenta corriente, entregar la factura electrónica contra la emisión de cada póliza hija?</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2)</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¿Debe el Instituto emitir factura electrónica por el depósito inicial en la póliza madre? ¿En caso de ser afirmativo su respuesta, como se procede con la emisión de cada póliza hija?</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3)</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¿En el de cobro emitido por el Instituto al patrono de una persona no asegurada por el régimen de riesgos del trabajo, se debe de incorporar el impuesto al valor agregado?  ¿En caso de ser afirmativo, cual tarifa se debe de incorporar?</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4)</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¿Debe el Instituto emitir factura electrónica, a los patronos, por la cancelación de los adeudos asociados a casos no asegurados?</w:t>
      </w:r>
    </w:p>
    <w:p w:rsidR="00D93F5C" w:rsidRPr="00D93F5C" w:rsidRDefault="00D93F5C" w:rsidP="00D93F5C">
      <w:pPr>
        <w:spacing w:after="0" w:line="240" w:lineRule="auto"/>
        <w:ind w:left="720"/>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5)</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¿Mediante la implementación de un convenio marco entre el INS y sus Subsidiarias, al amparo del artículo 115 del Reglamento a la Ley de Contratación Administrativa, se puede utilizar el mecanismo de reembolso, del INS hacia sus Subsidiarias, para efectos de que el INS recupere la factura pagada al proveedor de manera consolidada?</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w:eastAsia="Times New Roman" w:hAnsi="Arial" w:cs="Arial"/>
          <w:color w:val="000000"/>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6)</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¿En caso de que, no se avale por parte de esa Dirección el mecanismo de reembolso, debe el INS, facturar a cada subsidiaria por la proporción del servicio consumido?”</w:t>
      </w:r>
    </w:p>
    <w:p w:rsidR="00D93F5C" w:rsidRPr="00D93F5C" w:rsidRDefault="00D93F5C" w:rsidP="00D93F5C">
      <w:pPr>
        <w:spacing w:after="0" w:line="240" w:lineRule="auto"/>
        <w:ind w:left="283" w:hanging="283"/>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ind w:left="283" w:hanging="283"/>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ind w:left="720" w:hanging="720"/>
        <w:jc w:val="both"/>
        <w:rPr>
          <w:rFonts w:ascii="Cambria" w:eastAsia="Times New Roman" w:hAnsi="Cambria" w:cs="Times New Roman"/>
          <w:color w:val="000000"/>
          <w:sz w:val="27"/>
          <w:szCs w:val="27"/>
          <w:lang w:val="es-ES"/>
        </w:rPr>
      </w:pP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III.</w:t>
      </w: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CRITERIO DEL CONSULTANTE</w:t>
      </w:r>
    </w:p>
    <w:p w:rsidR="00D93F5C" w:rsidRPr="00D93F5C" w:rsidRDefault="00D93F5C" w:rsidP="00D93F5C">
      <w:pPr>
        <w:spacing w:after="0" w:line="240" w:lineRule="auto"/>
        <w:ind w:left="720"/>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A criterio del INS en el caso descrito, se debe emitir la factura electrónica de forma individual por cada póliza hija emitida, a efecto de tener un mayor control sobre el impuesto realmente recaudado, sin que deba emitir facturación electrónica por el depósito hecho por el tomador de la póliza madre, a fin de evitar una duplicación de facturas y consecuentemente del cobro del IVA y se estaría emitiendo una factura por un servicio eventual.</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En cuanto al segundo escenario descrito, es criterio del INS que de conformidad con la Ley N°6826 se establece en el artículo 1 que el impuesto surge con la venta de bienes o la prestación de servicios, de manera que al no mediar una prestación de servicios en los casos en que es la CCSS la que realiza el servicio y se lo cobra al INS, siendo que si se trata de casos no asegurados, corresponde al INS cobrar tal erogación al patrono, bajo ese supuesto no es necesario que el INS emita una factura electrónica, ni cobre el IVA, por un servicio que fue prestado por la CCSS y que el INS debe cobrar al patrono, si el caso es no asegurado.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En cuanto al tercer escenario, señala el Instituto </w:t>
      </w:r>
      <w:proofErr w:type="gramStart"/>
      <w:r w:rsidRPr="00D93F5C">
        <w:rPr>
          <w:rFonts w:ascii="Arial Narrow" w:eastAsia="Times New Roman" w:hAnsi="Arial Narrow" w:cs="Times New Roman"/>
          <w:color w:val="000000"/>
          <w:sz w:val="27"/>
          <w:szCs w:val="27"/>
          <w:lang w:val="es-ES_tradnl"/>
        </w:rPr>
        <w:t>que</w:t>
      </w:r>
      <w:proofErr w:type="gramEnd"/>
      <w:r w:rsidRPr="00D93F5C">
        <w:rPr>
          <w:rFonts w:ascii="Arial Narrow" w:eastAsia="Times New Roman" w:hAnsi="Arial Narrow" w:cs="Times New Roman"/>
          <w:color w:val="000000"/>
          <w:sz w:val="27"/>
          <w:szCs w:val="27"/>
          <w:lang w:val="es-ES_tradnl"/>
        </w:rPr>
        <w:t> al ser parte de un grupo financiero, en aras de unificar y ser más eficientes en procesos y servicios, tramita diferentes tipos de contrataciones administrativas, entre ellas, el convenio marco, por medio de licitaciones públicas, las cuales son utilizadas en ocasiones por las subsidiarias del Instituto para cumplir con sus objetivos y satisfacer sus necesidades.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xml:space="preserve">Señala que en el pliego de condiciones se indica que las órdenes de compra serán remitidas por el INS y que la factura electrónica se debe presentar a nombre del INS, por lo </w:t>
      </w:r>
      <w:proofErr w:type="gramStart"/>
      <w:r w:rsidRPr="00D93F5C">
        <w:rPr>
          <w:rFonts w:ascii="Arial Narrow" w:eastAsia="Times New Roman" w:hAnsi="Arial Narrow" w:cs="Times New Roman"/>
          <w:color w:val="000000"/>
          <w:sz w:val="27"/>
          <w:szCs w:val="27"/>
          <w:lang w:val="es-ES_tradnl"/>
        </w:rPr>
        <w:t>que</w:t>
      </w:r>
      <w:proofErr w:type="gramEnd"/>
      <w:r w:rsidRPr="00D93F5C">
        <w:rPr>
          <w:rFonts w:ascii="Arial Narrow" w:eastAsia="Times New Roman" w:hAnsi="Arial Narrow" w:cs="Times New Roman"/>
          <w:color w:val="000000"/>
          <w:sz w:val="27"/>
          <w:szCs w:val="27"/>
          <w:lang w:val="es-ES_tradnl"/>
        </w:rPr>
        <w:t xml:space="preserve"> si una subsidiaria requiere un bien o servicio asociado a un contrato en ejecución, realiza la solicitud y el INS gira la orden de compra y una vez recibido a satisfacción el bien o servicio y entregada la factura electrónica por parte del proveedor, se procede a realizar el cobro a la subsidiaria.</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En este caso, consideran que el INS no vende nada a las subsidiarias, sino que es un intermediario procedimental, debido a la aplicación del artículo 115 y siguientes del Reglamento a la Ley de Contratación Administrativa. El INS se limita a poner la orden de compra en un contrato tramitado por el mismo Instituto, a pagar en nombre y por cuenta de la subsidiaria y a requerir el reembolso correspondiente.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Por lo anterior, es criterio del INS que, al no mediar la prestación de servicios ni la venta de bienes, no es necesario que el INS emita facturas a cada subsidiaria por la parte de bienes y/o servicios consumidos por las subsidiarias, por lo que la figura del reembolso es la forma adecuada para generar el cobro a las subsidiarias del Instituto.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bookmarkStart w:id="0" w:name="_Hlk64287353"/>
      <w:r w:rsidRPr="00D93F5C">
        <w:rPr>
          <w:rFonts w:ascii="Arial Narrow" w:eastAsia="Times New Roman" w:hAnsi="Arial Narrow" w:cs="Times New Roman"/>
          <w:b/>
          <w:bCs/>
          <w:color w:val="000000"/>
          <w:sz w:val="27"/>
          <w:szCs w:val="27"/>
          <w:lang w:val="es-ES_tradnl"/>
        </w:rPr>
        <w:t> </w:t>
      </w:r>
      <w:bookmarkEnd w:id="0"/>
    </w:p>
    <w:p w:rsidR="00D93F5C" w:rsidRPr="00D93F5C" w:rsidRDefault="00D93F5C" w:rsidP="00D93F5C">
      <w:pPr>
        <w:spacing w:after="0" w:line="240" w:lineRule="auto"/>
        <w:ind w:left="720" w:hanging="720"/>
        <w:jc w:val="both"/>
        <w:rPr>
          <w:rFonts w:ascii="Cambria" w:eastAsia="Times New Roman" w:hAnsi="Cambria" w:cs="Times New Roman"/>
          <w:color w:val="000000"/>
          <w:sz w:val="27"/>
          <w:szCs w:val="27"/>
          <w:lang w:val="es-ES"/>
        </w:rPr>
      </w:pP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IV.</w:t>
      </w:r>
      <w:r w:rsidRPr="00D93F5C">
        <w:rPr>
          <w:rFonts w:ascii="Times New Roman" w:eastAsia="Times New Roman" w:hAnsi="Times New Roman" w:cs="Times New Roman"/>
          <w:b/>
          <w:bCs/>
          <w:color w:val="000000"/>
          <w:sz w:val="14"/>
          <w:szCs w:val="14"/>
          <w:lang w:val="es-ES_tradnl"/>
        </w:rPr>
        <w:t>            </w:t>
      </w:r>
      <w:r w:rsidRPr="00D93F5C">
        <w:rPr>
          <w:rFonts w:ascii="Arial Narrow" w:eastAsia="Times New Roman" w:hAnsi="Arial Narrow" w:cs="Times New Roman"/>
          <w:b/>
          <w:bCs/>
          <w:color w:val="000000"/>
          <w:sz w:val="27"/>
          <w:szCs w:val="27"/>
          <w:lang w:val="es-ES_tradnl"/>
        </w:rPr>
        <w:t>CRITERIO DE ESTA DIRECCIÓN GENERAL</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Una vez examinadas las interrogantes expresadas en los escritos de consulta, se procede a efectuar un análisis de la normativa que rige la materia y a brindar las respuestas a cada una de ellas en el orden en que se ha dispuesto en este escrito, según las consideraciones legales que se exponen más adelante.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Es importante recordar que con la reforma integral introducida a la Ley N°6826 que pasó a denominarse Ley del Impuesto sobre el Valor Agregado (LIVA) se estableció un Impuesto sobre el Valor Agregado (IVA) en la venta de bienes y en la prestación de servicios, independientemente del medio por el que sean prestados, y que sean realizados en el territorio de la República.</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El hecho generador de dicho impuesto es precisamente la venta de bienes y la prestación de servicios realizados en forma habitual, por contribuyentes del artículo 4 de la LIVA.  Ello implica que para que ocurra el hecho generador se deben cumplir dos presupuestos: i) que quien realiza la actividad lo haga en forma habitual, entendiéndose por habitualidad la actividad a la que se dedica una persona o empresa con ánimo de lucro, de forma pública, continua o frecuente, y; ii) que la persona o empresa sea un contribuyente del artículo 4 de dicha Ley.</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Por su parte, el artículo 4 de la LIVA establece que son contribuyentes de este impuesto las personas físicas, jurídicas, las entidades públicas o privadas que realicen actividades que impliquen la ordenación por cuenta propia de factores de producción, materiales y humanos, o de uno de ellos, con la finalidad de intervenir en la producción, la distribución, la comercialización o la venta de bienes o la prestación de servicios.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Mientras que el artículo 7 de dicha Ley establece: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b/>
          <w:bCs/>
          <w:i/>
          <w:iCs/>
          <w:color w:val="000000"/>
          <w:lang w:val="es-ES_tradnl"/>
        </w:rPr>
        <w:t>“Artículo 7- Obligaciones de los contribuyentes.</w:t>
      </w:r>
      <w:r w:rsidRPr="00D93F5C">
        <w:rPr>
          <w:rFonts w:ascii="Arial Narrow" w:eastAsia="Times New Roman" w:hAnsi="Arial Narrow" w:cs="Times New Roman"/>
          <w:i/>
          <w:iCs/>
          <w:color w:val="000000"/>
          <w:lang w:val="es-ES_tradnl"/>
        </w:rPr>
        <w:t> </w:t>
      </w:r>
      <w:r w:rsidRPr="00D93F5C">
        <w:rPr>
          <w:rFonts w:ascii="Arial Narrow" w:eastAsia="Times New Roman" w:hAnsi="Arial Narrow" w:cs="Times New Roman"/>
          <w:i/>
          <w:iCs/>
          <w:color w:val="000000"/>
          <w:u w:val="single"/>
          <w:lang w:val="es-ES_tradnl"/>
        </w:rPr>
        <w:t>En todos los casos los contribuyentes están obligados a extender facturas o documentos equivalentes, debidamente autorizados por la Administración Tributaria, en las ventas de bienes o por los servicios prestados.</w:t>
      </w:r>
      <w:r w:rsidRPr="00D93F5C">
        <w:rPr>
          <w:rFonts w:ascii="Arial Narrow" w:eastAsia="Times New Roman" w:hAnsi="Arial Narrow" w:cs="Times New Roman"/>
          <w:i/>
          <w:iCs/>
          <w:color w:val="000000"/>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Lo anterior nos permite colegir que para ser contribuyente de este impuesto debe dedicarse a una actividad con habitualidad que implique la ordenación de los factores de producción, materiales y humanos o de uno de ellos, con la finalidad de intervenir en la producción, distribución, comercialización o la venta de bienes o la prestación de servicios y debe ser un contribuyente de los enlistados en el artículo </w:t>
      </w:r>
      <w:proofErr w:type="gramStart"/>
      <w:r w:rsidRPr="00D93F5C">
        <w:rPr>
          <w:rFonts w:ascii="Arial Narrow" w:eastAsia="Times New Roman" w:hAnsi="Arial Narrow" w:cs="Times New Roman"/>
          <w:color w:val="000000"/>
          <w:sz w:val="27"/>
          <w:szCs w:val="27"/>
          <w:lang w:val="es-ES_tradnl"/>
        </w:rPr>
        <w:t>4  de</w:t>
      </w:r>
      <w:proofErr w:type="gramEnd"/>
      <w:r w:rsidRPr="00D93F5C">
        <w:rPr>
          <w:rFonts w:ascii="Arial Narrow" w:eastAsia="Times New Roman" w:hAnsi="Arial Narrow" w:cs="Times New Roman"/>
          <w:color w:val="000000"/>
          <w:sz w:val="27"/>
          <w:szCs w:val="27"/>
          <w:lang w:val="es-ES_tradnl"/>
        </w:rPr>
        <w:t> dicha Ley.</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Ahora bien, a fin de entender el quehacer del INS es necesario remitirse a lo dispuesto en el numeral 1 de la Ley N°12 de 30 de octubre de 1924 denominada Ley del Instituto Nacional de Seguros, donde se establece que el Ente Asegurador es una institución autónoma, que debe cumplir con los siguientes fines:</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1418" w:right="842"/>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i/>
          <w:iCs/>
          <w:color w:val="000000"/>
          <w:u w:val="single"/>
          <w:lang w:val="es-ES"/>
        </w:rPr>
        <w:t>“Artículo 1.-</w:t>
      </w:r>
      <w:r w:rsidRPr="00D93F5C">
        <w:rPr>
          <w:rFonts w:ascii="Arial Narrow" w:eastAsia="Times New Roman" w:hAnsi="Arial Narrow" w:cs="Times New Roman"/>
          <w:i/>
          <w:iCs/>
          <w:color w:val="000000"/>
          <w:lang w:val="es-ES"/>
        </w:rPr>
        <w:t> </w:t>
      </w:r>
      <w:r w:rsidRPr="00D93F5C">
        <w:rPr>
          <w:rFonts w:ascii="Arial Narrow" w:eastAsia="Times New Roman" w:hAnsi="Arial Narrow" w:cs="Times New Roman"/>
          <w:b/>
          <w:bCs/>
          <w:i/>
          <w:iCs/>
          <w:color w:val="000000"/>
          <w:lang w:val="es-ES"/>
        </w:rPr>
        <w:t>Instituto Nacional de Seguros y sus actividades</w:t>
      </w:r>
    </w:p>
    <w:p w:rsidR="00D93F5C" w:rsidRPr="00D93F5C" w:rsidRDefault="00D93F5C" w:rsidP="00D93F5C">
      <w:pPr>
        <w:spacing w:after="0" w:line="240" w:lineRule="auto"/>
        <w:ind w:left="1418" w:right="842" w:firstLine="709"/>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
        </w:rPr>
        <w:t>El Instituto Nacional de Seguros, en adelante INS, </w:t>
      </w:r>
      <w:r w:rsidRPr="00D93F5C">
        <w:rPr>
          <w:rFonts w:ascii="Arial Narrow" w:eastAsia="Times New Roman" w:hAnsi="Arial Narrow" w:cs="Times New Roman"/>
          <w:b/>
          <w:bCs/>
          <w:i/>
          <w:iCs/>
          <w:color w:val="000000"/>
          <w:u w:val="single"/>
          <w:lang w:val="es-ES"/>
        </w:rPr>
        <w:t>es la</w:t>
      </w:r>
      <w:r w:rsidRPr="00D93F5C">
        <w:rPr>
          <w:rFonts w:ascii="Arial Narrow" w:eastAsia="Times New Roman" w:hAnsi="Arial Narrow" w:cs="Times New Roman"/>
          <w:i/>
          <w:iCs/>
          <w:color w:val="000000"/>
          <w:u w:val="single"/>
          <w:lang w:val="es-ES"/>
        </w:rPr>
        <w:t> </w:t>
      </w:r>
      <w:r w:rsidRPr="00D93F5C">
        <w:rPr>
          <w:rFonts w:ascii="Arial Narrow" w:eastAsia="Times New Roman" w:hAnsi="Arial Narrow" w:cs="Times New Roman"/>
          <w:b/>
          <w:bCs/>
          <w:i/>
          <w:iCs/>
          <w:color w:val="000000"/>
          <w:u w:val="single"/>
          <w:lang w:val="es-ES"/>
        </w:rPr>
        <w:t>institución</w:t>
      </w:r>
      <w:r w:rsidRPr="00D93F5C">
        <w:rPr>
          <w:rFonts w:ascii="Arial Narrow" w:eastAsia="Times New Roman" w:hAnsi="Arial Narrow" w:cs="Times New Roman"/>
          <w:i/>
          <w:iCs/>
          <w:color w:val="000000"/>
          <w:u w:val="single"/>
          <w:lang w:val="es-ES"/>
        </w:rPr>
        <w:t> </w:t>
      </w:r>
      <w:r w:rsidRPr="00D93F5C">
        <w:rPr>
          <w:rFonts w:ascii="Arial Narrow" w:eastAsia="Times New Roman" w:hAnsi="Arial Narrow" w:cs="Times New Roman"/>
          <w:b/>
          <w:bCs/>
          <w:i/>
          <w:iCs/>
          <w:color w:val="000000"/>
          <w:u w:val="single"/>
          <w:lang w:val="es-ES"/>
        </w:rPr>
        <w:t>autónoma</w:t>
      </w:r>
      <w:r w:rsidRPr="00D93F5C">
        <w:rPr>
          <w:rFonts w:ascii="Arial Narrow" w:eastAsia="Times New Roman" w:hAnsi="Arial Narrow" w:cs="Times New Roman"/>
          <w:i/>
          <w:iCs/>
          <w:color w:val="000000"/>
          <w:u w:val="single"/>
          <w:lang w:val="es-ES"/>
        </w:rPr>
        <w:t> aseguradora del Estado, con personalidad jurídica y patrimonio propios, autorizada para desarrollar la actividad aseguradora y reaseguradora.</w:t>
      </w:r>
      <w:r w:rsidRPr="00D93F5C">
        <w:rPr>
          <w:rFonts w:ascii="Arial Narrow" w:eastAsia="Times New Roman" w:hAnsi="Arial Narrow" w:cs="Times New Roman"/>
          <w:i/>
          <w:iCs/>
          <w:color w:val="000000"/>
          <w:lang w:val="es-ES"/>
        </w:rPr>
        <w:t>  En dichas actividades le será aplicable la regulación, la supervisión y el régimen sancionatorio dispuesto para todas las entidades aseguradoras.  (…)</w:t>
      </w:r>
    </w:p>
    <w:p w:rsidR="00D93F5C" w:rsidRPr="00D93F5C" w:rsidRDefault="00D93F5C" w:rsidP="00D93F5C">
      <w:pPr>
        <w:spacing w:after="0" w:line="240" w:lineRule="auto"/>
        <w:ind w:left="1418" w:right="842" w:firstLine="709"/>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u w:val="single"/>
          <w:lang w:val="es-ES"/>
        </w:rPr>
        <w:t>En el desarrollo de la actividad aseguradora en el país, que incluye la administración de los seguros comerciales, la administración del Seguro de Riesgos del Trabajo y del Seguro Obligatorio de Vehículos Automotores,</w:t>
      </w:r>
      <w:r w:rsidRPr="00D93F5C">
        <w:rPr>
          <w:rFonts w:ascii="Arial Narrow" w:eastAsia="Times New Roman" w:hAnsi="Arial Narrow" w:cs="Times New Roman"/>
          <w:i/>
          <w:iCs/>
          <w:color w:val="000000"/>
          <w:lang w:val="es-ES"/>
        </w:rPr>
        <w:t> el INS contará con plena garantía del Estado.</w:t>
      </w:r>
    </w:p>
    <w:p w:rsidR="00D93F5C" w:rsidRPr="00D93F5C" w:rsidRDefault="00D93F5C" w:rsidP="00D93F5C">
      <w:pPr>
        <w:spacing w:after="0" w:line="240" w:lineRule="auto"/>
        <w:ind w:left="1418" w:right="842" w:firstLine="709"/>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u w:val="single"/>
          <w:lang w:val="es-ES"/>
        </w:rPr>
        <w:t>El INS queda facultado para constituir o adquirir participaciones de capital en sociedades anónimas, sociedades comerciales, sucursales, agencias o cualquier otro ente comercial de naturaleza similar</w:t>
      </w:r>
      <w:r w:rsidRPr="00D93F5C">
        <w:rPr>
          <w:rFonts w:ascii="Arial Narrow" w:eastAsia="Times New Roman" w:hAnsi="Arial Narrow" w:cs="Times New Roman"/>
          <w:i/>
          <w:iCs/>
          <w:color w:val="000000"/>
          <w:lang w:val="es-ES"/>
        </w:rPr>
        <w:t>, ninguno de los cuales contará con la garantía indicada en el párrafo anterior para los siguientes propósitos:</w:t>
      </w:r>
    </w:p>
    <w:p w:rsidR="00D93F5C" w:rsidRPr="00D93F5C" w:rsidRDefault="00D93F5C" w:rsidP="00D93F5C">
      <w:pPr>
        <w:spacing w:after="0" w:line="240" w:lineRule="auto"/>
        <w:ind w:left="1418" w:right="842" w:firstLine="709"/>
        <w:jc w:val="both"/>
        <w:rPr>
          <w:rFonts w:ascii="Cambria" w:eastAsia="Times New Roman" w:hAnsi="Cambria" w:cs="Times New Roman"/>
          <w:color w:val="000000"/>
          <w:sz w:val="27"/>
          <w:szCs w:val="27"/>
          <w:lang w:val="es-ES"/>
        </w:rPr>
      </w:pPr>
      <w:r w:rsidRPr="00D93F5C">
        <w:rPr>
          <w:rFonts w:ascii="Calibri" w:eastAsia="Times New Roman" w:hAnsi="Calibri" w:cs="Calibri"/>
          <w:color w:val="000000"/>
          <w:sz w:val="27"/>
          <w:szCs w:val="27"/>
          <w:lang w:val="es-ES"/>
        </w:rPr>
        <w:t> </w:t>
      </w:r>
    </w:p>
    <w:p w:rsidR="00D93F5C" w:rsidRPr="00D93F5C" w:rsidRDefault="00D93F5C" w:rsidP="00D93F5C">
      <w:pPr>
        <w:spacing w:after="0" w:line="240" w:lineRule="auto"/>
        <w:ind w:left="2268" w:right="842"/>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i/>
          <w:iCs/>
          <w:color w:val="000000"/>
          <w:lang w:val="es-ES"/>
        </w:rPr>
        <w:t>a)</w:t>
      </w:r>
      <w:r w:rsidRPr="00D93F5C">
        <w:rPr>
          <w:rFonts w:ascii="Arial Narrow" w:eastAsia="Times New Roman" w:hAnsi="Arial Narrow" w:cs="Times New Roman"/>
          <w:i/>
          <w:iCs/>
          <w:color w:val="000000"/>
          <w:lang w:val="es-ES"/>
        </w:rPr>
        <w:t> </w:t>
      </w:r>
      <w:r w:rsidRPr="00D93F5C">
        <w:rPr>
          <w:rFonts w:ascii="Arial Narrow" w:eastAsia="Times New Roman" w:hAnsi="Arial Narrow" w:cs="Times New Roman"/>
          <w:i/>
          <w:iCs/>
          <w:color w:val="000000"/>
          <w:u w:val="single"/>
          <w:lang w:val="es-ES"/>
        </w:rPr>
        <w:t>Ejercer las actividades que le han sido encomendadas por ley dentro del país.</w:t>
      </w:r>
      <w:r w:rsidRPr="00D93F5C">
        <w:rPr>
          <w:rFonts w:ascii="Arial Narrow" w:eastAsia="Times New Roman" w:hAnsi="Arial Narrow" w:cs="Times New Roman"/>
          <w:i/>
          <w:iCs/>
          <w:color w:val="000000"/>
          <w:lang w:val="es-ES"/>
        </w:rPr>
        <w:t>  Dichas actividades comprenden las de carácter financiero, otorgamiento de créditos, </w:t>
      </w:r>
      <w:r w:rsidRPr="00D93F5C">
        <w:rPr>
          <w:rFonts w:ascii="Arial Narrow" w:eastAsia="Times New Roman" w:hAnsi="Arial Narrow" w:cs="Times New Roman"/>
          <w:b/>
          <w:bCs/>
          <w:i/>
          <w:iCs/>
          <w:color w:val="000000"/>
          <w:lang w:val="es-ES"/>
        </w:rPr>
        <w:t>las de prestación de servicios de salud</w:t>
      </w:r>
      <w:r w:rsidRPr="00D93F5C">
        <w:rPr>
          <w:rFonts w:ascii="Arial Narrow" w:eastAsia="Times New Roman" w:hAnsi="Arial Narrow" w:cs="Times New Roman"/>
          <w:i/>
          <w:iCs/>
          <w:color w:val="000000"/>
          <w:lang w:val="es-ES"/>
        </w:rPr>
        <w:t> y las propias del Cuerpo de Bomberos, </w:t>
      </w:r>
      <w:r w:rsidRPr="00D93F5C">
        <w:rPr>
          <w:rFonts w:ascii="Arial Narrow" w:eastAsia="Times New Roman" w:hAnsi="Arial Narrow" w:cs="Times New Roman"/>
          <w:b/>
          <w:bCs/>
          <w:i/>
          <w:iCs/>
          <w:color w:val="000000"/>
          <w:lang w:val="es-ES"/>
        </w:rPr>
        <w:t>el suministro de prestaciones médicas</w:t>
      </w:r>
      <w:r w:rsidRPr="00D93F5C">
        <w:rPr>
          <w:rFonts w:ascii="Arial Narrow" w:eastAsia="Times New Roman" w:hAnsi="Arial Narrow" w:cs="Times New Roman"/>
          <w:i/>
          <w:iCs/>
          <w:color w:val="000000"/>
          <w:lang w:val="es-ES"/>
        </w:rPr>
        <w:t> y la venta de bienes adquiridos por el INS en razón de sus actividades.</w:t>
      </w:r>
    </w:p>
    <w:p w:rsidR="00D93F5C" w:rsidRPr="00D93F5C" w:rsidRDefault="00D93F5C" w:rsidP="00D93F5C">
      <w:pPr>
        <w:spacing w:after="0" w:line="240" w:lineRule="auto"/>
        <w:ind w:left="1418" w:right="842" w:firstLine="709"/>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
        </w:rPr>
        <w:t>(…)</w:t>
      </w:r>
    </w:p>
    <w:p w:rsidR="00D93F5C" w:rsidRPr="00D93F5C" w:rsidRDefault="00D93F5C" w:rsidP="00D93F5C">
      <w:pPr>
        <w:spacing w:after="0" w:line="240" w:lineRule="auto"/>
        <w:ind w:left="1418" w:right="842"/>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
        </w:rPr>
        <w:t>               </w:t>
      </w:r>
      <w:r w:rsidRPr="00D93F5C">
        <w:rPr>
          <w:rFonts w:ascii="Arial Narrow" w:eastAsia="Times New Roman" w:hAnsi="Arial Narrow" w:cs="Times New Roman"/>
          <w:i/>
          <w:iCs/>
          <w:color w:val="000000"/>
          <w:u w:val="single"/>
          <w:lang w:val="es-ES"/>
        </w:rPr>
        <w:t>Se autoriza a los bancos públicos a participar como accionistas de las sociedades anónimas que el INS establezca</w:t>
      </w:r>
      <w:r w:rsidRPr="00D93F5C">
        <w:rPr>
          <w:rFonts w:ascii="Arial Narrow" w:eastAsia="Times New Roman" w:hAnsi="Arial Narrow" w:cs="Times New Roman"/>
          <w:i/>
          <w:iCs/>
          <w:color w:val="000000"/>
          <w:lang w:val="es-ES"/>
        </w:rPr>
        <w:t> según lo señalado en este artículo, </w:t>
      </w:r>
      <w:r w:rsidRPr="00D93F5C">
        <w:rPr>
          <w:rFonts w:ascii="Arial Narrow" w:eastAsia="Times New Roman" w:hAnsi="Arial Narrow" w:cs="Times New Roman"/>
          <w:i/>
          <w:iCs/>
          <w:color w:val="000000"/>
          <w:u w:val="single"/>
          <w:lang w:val="es-ES"/>
        </w:rPr>
        <w:t>siempre que el INS se mantenga como socio mayoritario de dichas sociedades</w:t>
      </w:r>
      <w:r w:rsidRPr="00D93F5C">
        <w:rPr>
          <w:rFonts w:ascii="Arial Narrow" w:eastAsia="Times New Roman" w:hAnsi="Arial Narrow" w:cs="Times New Roman"/>
          <w:i/>
          <w:iCs/>
          <w:color w:val="000000"/>
          <w:lang w:val="es-ES"/>
        </w:rPr>
        <w:t>.” (El resaltado en negrita y el subrayado no pertenece al original)</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Por su parte el artículo 11 inciso 2., del Título I de la LIVA, establece: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1114"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w:t>
      </w:r>
      <w:r w:rsidRPr="00D93F5C">
        <w:rPr>
          <w:rFonts w:ascii="Arial Narrow" w:eastAsia="Times New Roman" w:hAnsi="Arial Narrow" w:cs="Times New Roman"/>
          <w:b/>
          <w:bCs/>
          <w:i/>
          <w:iCs/>
          <w:color w:val="000000"/>
          <w:lang w:val="es-ES_tradnl"/>
        </w:rPr>
        <w:t>Artículo 11- Tarifa reducida.</w:t>
      </w:r>
      <w:r w:rsidRPr="00D93F5C">
        <w:rPr>
          <w:rFonts w:ascii="Arial Narrow" w:eastAsia="Times New Roman" w:hAnsi="Arial Narrow" w:cs="Times New Roman"/>
          <w:i/>
          <w:iCs/>
          <w:color w:val="000000"/>
          <w:lang w:val="es-ES_tradnl"/>
        </w:rPr>
        <w:t> Se establecen las siguientes tarifas reducidas:</w:t>
      </w:r>
    </w:p>
    <w:p w:rsidR="00D93F5C" w:rsidRPr="00D93F5C" w:rsidRDefault="00D93F5C" w:rsidP="00D93F5C">
      <w:pPr>
        <w:spacing w:after="0" w:line="240" w:lineRule="auto"/>
        <w:ind w:left="1114"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 </w:t>
      </w:r>
    </w:p>
    <w:p w:rsidR="00D93F5C" w:rsidRPr="00D93F5C" w:rsidRDefault="00D93F5C" w:rsidP="00D93F5C">
      <w:pPr>
        <w:spacing w:after="0" w:line="240" w:lineRule="auto"/>
        <w:ind w:left="1474" w:right="618" w:hanging="360"/>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2.</w:t>
      </w:r>
      <w:r w:rsidRPr="00D93F5C">
        <w:rPr>
          <w:rFonts w:ascii="Times New Roman" w:eastAsia="Times New Roman" w:hAnsi="Times New Roman" w:cs="Times New Roman"/>
          <w:i/>
          <w:iCs/>
          <w:color w:val="000000"/>
          <w:sz w:val="14"/>
          <w:szCs w:val="14"/>
          <w:lang w:val="es-ES_tradnl"/>
        </w:rPr>
        <w:t>       </w:t>
      </w:r>
      <w:r w:rsidRPr="00D93F5C">
        <w:rPr>
          <w:rFonts w:ascii="Arial Narrow" w:eastAsia="Times New Roman" w:hAnsi="Arial Narrow" w:cs="Times New Roman"/>
          <w:i/>
          <w:iCs/>
          <w:color w:val="000000"/>
          <w:lang w:val="es-ES_tradnl"/>
        </w:rPr>
        <w:t>Del cuatro por ciento (4%) para los siguientes bienes o servicios:</w:t>
      </w:r>
    </w:p>
    <w:p w:rsidR="00D93F5C" w:rsidRPr="00D93F5C" w:rsidRDefault="00D93F5C" w:rsidP="00D93F5C">
      <w:pPr>
        <w:spacing w:after="0" w:line="240" w:lineRule="auto"/>
        <w:ind w:left="1416" w:right="618"/>
        <w:jc w:val="both"/>
        <w:rPr>
          <w:rFonts w:ascii="Cambria" w:eastAsia="Times New Roman" w:hAnsi="Cambria" w:cs="Times New Roman"/>
          <w:color w:val="000000"/>
          <w:sz w:val="27"/>
          <w:szCs w:val="27"/>
          <w:lang w:val="es-ES"/>
        </w:rPr>
      </w:pPr>
      <w:proofErr w:type="gramStart"/>
      <w:r w:rsidRPr="00D93F5C">
        <w:rPr>
          <w:rFonts w:ascii="Arial Narrow" w:eastAsia="Times New Roman" w:hAnsi="Arial Narrow" w:cs="Times New Roman"/>
          <w:i/>
          <w:iCs/>
          <w:color w:val="000000"/>
          <w:lang w:val="es-ES_tradnl"/>
        </w:rPr>
        <w:t>a.(</w:t>
      </w:r>
      <w:proofErr w:type="gramEnd"/>
      <w:r w:rsidRPr="00D93F5C">
        <w:rPr>
          <w:rFonts w:ascii="Arial Narrow" w:eastAsia="Times New Roman" w:hAnsi="Arial Narrow" w:cs="Times New Roman"/>
          <w:i/>
          <w:iCs/>
          <w:color w:val="000000"/>
          <w:lang w:val="es-ES_tradnl"/>
        </w:rPr>
        <w:t>…)</w:t>
      </w:r>
    </w:p>
    <w:p w:rsidR="00D93F5C" w:rsidRPr="00D93F5C" w:rsidRDefault="00D93F5C" w:rsidP="00D93F5C">
      <w:pPr>
        <w:spacing w:after="0" w:line="240" w:lineRule="auto"/>
        <w:ind w:left="1416"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b. </w:t>
      </w:r>
      <w:r w:rsidRPr="00D93F5C">
        <w:rPr>
          <w:rFonts w:ascii="Arial Narrow" w:eastAsia="Times New Roman" w:hAnsi="Arial Narrow" w:cs="Times New Roman"/>
          <w:b/>
          <w:bCs/>
          <w:i/>
          <w:iCs/>
          <w:color w:val="000000"/>
          <w:lang w:val="es-ES_tradnl"/>
        </w:rPr>
        <w:t>Los</w:t>
      </w:r>
      <w:r w:rsidRPr="00D93F5C">
        <w:rPr>
          <w:rFonts w:ascii="Arial Narrow" w:eastAsia="Times New Roman" w:hAnsi="Arial Narrow" w:cs="Times New Roman"/>
          <w:i/>
          <w:iCs/>
          <w:color w:val="000000"/>
          <w:lang w:val="es-ES_tradnl"/>
        </w:rPr>
        <w:t> </w:t>
      </w:r>
      <w:r w:rsidRPr="00D93F5C">
        <w:rPr>
          <w:rFonts w:ascii="Arial Narrow" w:eastAsia="Times New Roman" w:hAnsi="Arial Narrow" w:cs="Times New Roman"/>
          <w:b/>
          <w:bCs/>
          <w:i/>
          <w:iCs/>
          <w:color w:val="000000"/>
          <w:lang w:val="es-ES_tradnl"/>
        </w:rPr>
        <w:t>servicios de salud privados prestados por centros de salud autorizados, o profesionales en ciencias de la salud autorizados.</w:t>
      </w:r>
      <w:r w:rsidRPr="00D93F5C">
        <w:rPr>
          <w:rFonts w:ascii="Arial Narrow" w:eastAsia="Times New Roman" w:hAnsi="Arial Narrow" w:cs="Times New Roman"/>
          <w:i/>
          <w:iCs/>
          <w:color w:val="000000"/>
          <w:lang w:val="es-ES_tradnl"/>
        </w:rPr>
        <w:t> Los profesionales en ciencias de la salud deberán, además, encontrarse incorporados en el colegio profesional respectivo.”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Asimismo, el Reglamento a la LIVA (</w:t>
      </w:r>
      <w:r w:rsidRPr="00D93F5C">
        <w:rPr>
          <w:rFonts w:ascii="Arial Narrow" w:eastAsia="Times New Roman" w:hAnsi="Arial Narrow" w:cs="Times New Roman"/>
          <w:color w:val="000000"/>
          <w:sz w:val="27"/>
          <w:szCs w:val="27"/>
          <w:shd w:val="clear" w:color="auto" w:fill="FFFFFF"/>
          <w:lang w:val="es-ES"/>
        </w:rPr>
        <w:t>RLIVA) establece en el</w:t>
      </w:r>
      <w:r w:rsidRPr="00D93F5C">
        <w:rPr>
          <w:rFonts w:ascii="Arial Narrow" w:eastAsia="Times New Roman" w:hAnsi="Arial Narrow" w:cs="Times New Roman"/>
          <w:color w:val="000000"/>
          <w:sz w:val="27"/>
          <w:szCs w:val="27"/>
          <w:lang w:val="es-ES"/>
        </w:rPr>
        <w:t> artículo 23, lo siguiente:</w:t>
      </w:r>
    </w:p>
    <w:p w:rsidR="00D93F5C" w:rsidRPr="00D93F5C" w:rsidRDefault="00D93F5C" w:rsidP="00D93F5C">
      <w:pPr>
        <w:spacing w:after="0" w:line="240" w:lineRule="auto"/>
        <w:ind w:left="709" w:right="616"/>
        <w:jc w:val="both"/>
        <w:rPr>
          <w:rFonts w:ascii="Cambria" w:eastAsia="Times New Roman" w:hAnsi="Cambria" w:cs="Times New Roman"/>
          <w:color w:val="000000"/>
          <w:sz w:val="27"/>
          <w:szCs w:val="27"/>
          <w:lang w:val="es-ES"/>
        </w:rPr>
      </w:pPr>
      <w:r w:rsidRPr="00D93F5C">
        <w:rPr>
          <w:rFonts w:ascii="Calibri" w:eastAsia="Times New Roman" w:hAnsi="Calibri" w:cs="Calibri"/>
          <w:i/>
          <w:iCs/>
          <w:color w:val="000000"/>
          <w:lang w:val="es-ES_tradnl"/>
        </w:rPr>
        <w:t> </w:t>
      </w:r>
    </w:p>
    <w:p w:rsidR="00D93F5C" w:rsidRPr="00D93F5C" w:rsidRDefault="00D93F5C" w:rsidP="00D93F5C">
      <w:pPr>
        <w:spacing w:after="0" w:line="240" w:lineRule="auto"/>
        <w:ind w:left="1111"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
        </w:rPr>
        <w:t>“</w:t>
      </w:r>
      <w:r w:rsidRPr="00D93F5C">
        <w:rPr>
          <w:rFonts w:ascii="Arial Narrow" w:eastAsia="Times New Roman" w:hAnsi="Arial Narrow" w:cs="Times New Roman"/>
          <w:b/>
          <w:bCs/>
          <w:i/>
          <w:iCs/>
          <w:color w:val="000000"/>
          <w:lang w:val="es-ES_tradnl"/>
        </w:rPr>
        <w:t>Artículo 23.- Aplicación de tarifas reducidas.</w:t>
      </w:r>
      <w:r w:rsidRPr="00D93F5C">
        <w:rPr>
          <w:rFonts w:ascii="Arial Narrow" w:eastAsia="Times New Roman" w:hAnsi="Arial Narrow" w:cs="Times New Roman"/>
          <w:i/>
          <w:iCs/>
          <w:color w:val="000000"/>
          <w:lang w:val="es-ES_tradnl"/>
        </w:rPr>
        <w:t> De conformidad con el artículo 11 de la Ley, las tarifas reducidas aplicables a los siguientes bienes o servicios son:</w:t>
      </w:r>
    </w:p>
    <w:p w:rsidR="00D93F5C" w:rsidRPr="00D93F5C" w:rsidRDefault="00D93F5C" w:rsidP="00D93F5C">
      <w:pPr>
        <w:spacing w:after="0" w:line="240" w:lineRule="auto"/>
        <w:ind w:left="1111"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 </w:t>
      </w:r>
    </w:p>
    <w:p w:rsidR="00D93F5C" w:rsidRPr="00D93F5C" w:rsidRDefault="00D93F5C" w:rsidP="00D93F5C">
      <w:pPr>
        <w:spacing w:after="0" w:line="240" w:lineRule="auto"/>
        <w:ind w:left="1471" w:right="618" w:hanging="360"/>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1)</w:t>
      </w:r>
      <w:r w:rsidRPr="00D93F5C">
        <w:rPr>
          <w:rFonts w:ascii="Times New Roman" w:eastAsia="Times New Roman" w:hAnsi="Times New Roman" w:cs="Times New Roman"/>
          <w:i/>
          <w:iCs/>
          <w:color w:val="000000"/>
          <w:sz w:val="14"/>
          <w:szCs w:val="14"/>
          <w:lang w:val="es-ES_tradnl"/>
        </w:rPr>
        <w:t>       </w:t>
      </w:r>
      <w:r w:rsidRPr="00D93F5C">
        <w:rPr>
          <w:rFonts w:ascii="Arial Narrow" w:eastAsia="Times New Roman" w:hAnsi="Arial Narrow" w:cs="Times New Roman"/>
          <w:i/>
          <w:iCs/>
          <w:color w:val="000000"/>
          <w:lang w:val="es-ES_tradnl"/>
        </w:rPr>
        <w:t>Tarifa del cuatro por ciento (4%) para los siguientes servicios:</w:t>
      </w:r>
    </w:p>
    <w:p w:rsidR="00D93F5C" w:rsidRPr="00D93F5C" w:rsidRDefault="00D93F5C" w:rsidP="00D93F5C">
      <w:pPr>
        <w:spacing w:after="0" w:line="240" w:lineRule="auto"/>
        <w:ind w:left="1471"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 </w:t>
      </w:r>
    </w:p>
    <w:p w:rsidR="00D93F5C" w:rsidRPr="00D93F5C" w:rsidRDefault="00D93F5C" w:rsidP="00D93F5C">
      <w:pPr>
        <w:spacing w:after="0" w:line="240" w:lineRule="auto"/>
        <w:ind w:left="1831" w:right="618" w:hanging="360"/>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a.</w:t>
      </w:r>
      <w:r w:rsidRPr="00D93F5C">
        <w:rPr>
          <w:rFonts w:ascii="Times New Roman" w:eastAsia="Times New Roman" w:hAnsi="Times New Roman" w:cs="Times New Roman"/>
          <w:i/>
          <w:iCs/>
          <w:color w:val="000000"/>
          <w:sz w:val="14"/>
          <w:szCs w:val="14"/>
          <w:lang w:val="es-ES_tradnl"/>
        </w:rPr>
        <w:t>       </w:t>
      </w:r>
      <w:r w:rsidRPr="00D93F5C">
        <w:rPr>
          <w:rFonts w:ascii="Arial Narrow" w:eastAsia="Times New Roman" w:hAnsi="Arial Narrow" w:cs="Times New Roman"/>
          <w:i/>
          <w:iCs/>
          <w:color w:val="000000"/>
          <w:lang w:val="es-ES_tradnl"/>
        </w:rPr>
        <w:t>(…)</w:t>
      </w:r>
    </w:p>
    <w:p w:rsidR="00D93F5C" w:rsidRPr="00D93F5C" w:rsidRDefault="00D93F5C" w:rsidP="00D93F5C">
      <w:pPr>
        <w:spacing w:after="0" w:line="240" w:lineRule="auto"/>
        <w:ind w:left="1831" w:right="618" w:hanging="360"/>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b/>
          <w:bCs/>
          <w:i/>
          <w:iCs/>
          <w:color w:val="000000"/>
          <w:lang w:val="es-ES_tradnl"/>
        </w:rPr>
        <w:t>b.</w:t>
      </w:r>
      <w:r w:rsidRPr="00D93F5C">
        <w:rPr>
          <w:rFonts w:ascii="Times New Roman" w:eastAsia="Times New Roman" w:hAnsi="Times New Roman" w:cs="Times New Roman"/>
          <w:b/>
          <w:bCs/>
          <w:i/>
          <w:iCs/>
          <w:color w:val="000000"/>
          <w:sz w:val="14"/>
          <w:szCs w:val="14"/>
          <w:lang w:val="es-ES_tradnl"/>
        </w:rPr>
        <w:t>       </w:t>
      </w:r>
      <w:r w:rsidRPr="00D93F5C">
        <w:rPr>
          <w:rFonts w:ascii="Arial Narrow" w:eastAsia="Times New Roman" w:hAnsi="Arial Narrow" w:cs="Times New Roman"/>
          <w:b/>
          <w:bCs/>
          <w:i/>
          <w:iCs/>
          <w:color w:val="000000"/>
          <w:lang w:val="es-ES_tradnl"/>
        </w:rPr>
        <w:t>Servicios de salud humana privados.</w:t>
      </w:r>
    </w:p>
    <w:p w:rsidR="00D93F5C" w:rsidRPr="00D93F5C" w:rsidRDefault="00D93F5C" w:rsidP="00D93F5C">
      <w:pPr>
        <w:spacing w:after="0" w:line="240" w:lineRule="auto"/>
        <w:ind w:left="1111"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 </w:t>
      </w:r>
    </w:p>
    <w:p w:rsidR="00D93F5C" w:rsidRPr="00D93F5C" w:rsidRDefault="00D93F5C" w:rsidP="00D93F5C">
      <w:pPr>
        <w:spacing w:after="0" w:line="240" w:lineRule="auto"/>
        <w:ind w:left="1831"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Se consideran </w:t>
      </w:r>
      <w:r w:rsidRPr="00D93F5C">
        <w:rPr>
          <w:rFonts w:ascii="Arial Narrow" w:eastAsia="Times New Roman" w:hAnsi="Arial Narrow" w:cs="Times New Roman"/>
          <w:i/>
          <w:iCs/>
          <w:color w:val="000000"/>
          <w:u w:val="single"/>
          <w:lang w:val="es-ES_tradnl"/>
        </w:rPr>
        <w:t>servicios de salud humana privados</w:t>
      </w:r>
      <w:r w:rsidRPr="00D93F5C">
        <w:rPr>
          <w:rFonts w:ascii="Arial Narrow" w:eastAsia="Times New Roman" w:hAnsi="Arial Narrow" w:cs="Times New Roman"/>
          <w:i/>
          <w:iCs/>
          <w:color w:val="000000"/>
          <w:lang w:val="es-ES_tradnl"/>
        </w:rPr>
        <w:t>, los servicios personales prestados por centros de salud o profesionales en ciencias de la salud, debidamente autorizados, que realizan actividades generales o especializadas </w:t>
      </w:r>
      <w:proofErr w:type="gramStart"/>
      <w:r w:rsidRPr="00D93F5C">
        <w:rPr>
          <w:rFonts w:ascii="Arial Narrow" w:eastAsia="Times New Roman" w:hAnsi="Arial Narrow" w:cs="Times New Roman"/>
          <w:i/>
          <w:iCs/>
          <w:color w:val="000000"/>
          <w:lang w:val="es-ES_tradnl"/>
        </w:rPr>
        <w:t>en  la</w:t>
      </w:r>
      <w:proofErr w:type="gramEnd"/>
      <w:r w:rsidRPr="00D93F5C">
        <w:rPr>
          <w:rFonts w:ascii="Arial Narrow" w:eastAsia="Times New Roman" w:hAnsi="Arial Narrow" w:cs="Times New Roman"/>
          <w:i/>
          <w:iCs/>
          <w:color w:val="000000"/>
          <w:lang w:val="es-ES_tradnl"/>
        </w:rPr>
        <w:t> salud humana, prevención, atención, recuperación o rehabilitación de la enfermedad, ya sea en establecimientos, unidades móviles o lugares autorizados temporalmente para dicho fin. La atención puede ser ofrecida de forma ambulatoria o con hospitalización. (…)</w:t>
      </w:r>
    </w:p>
    <w:p w:rsidR="00D93F5C" w:rsidRPr="00D93F5C" w:rsidRDefault="00D93F5C" w:rsidP="00D93F5C">
      <w:pPr>
        <w:spacing w:after="0" w:line="240" w:lineRule="auto"/>
        <w:ind w:left="1831" w:right="61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i/>
          <w:iCs/>
          <w:color w:val="000000"/>
          <w:lang w:val="es-ES_tradnl"/>
        </w:rPr>
        <w:t>Cuando el servicio de salud preste otros servicios o bienes distintos al servicio de salud, tales como el de restaurante, el alojamiento de acompañantes del paciente e internet, estos se regirán por las tarifas establecidas en los artículos 10 y 11 de la Ley, según corresponda.”</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De manera que la tarifa reducida se otorga a los servicios de salud privados prestados en Centros de Salud debidamente autorizados o prestados por profesionales en las ciencias de la salud, debidamente incorporados en el Colegio Profesional respectivo.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En el caso de la Red de Servicios de Salud que se prestan a los pacientes de RT, vemos que tal como dispone el numeral 1 de la Ley Nº8653, los servicios de salud forman parte de las actividades que se le han encomendado a dicho Ente Asegurador, tanto la </w:t>
      </w:r>
      <w:bookmarkStart w:id="1" w:name="_Hlk64287623"/>
      <w:r w:rsidRPr="00D93F5C">
        <w:rPr>
          <w:rFonts w:ascii="Arial Narrow" w:eastAsia="Times New Roman" w:hAnsi="Arial Narrow" w:cs="Times New Roman"/>
          <w:color w:val="000000"/>
          <w:sz w:val="27"/>
          <w:szCs w:val="27"/>
          <w:lang w:val="es-ES"/>
        </w:rPr>
        <w:t>prestación de servicios de salud como el suministro de prestaciones médicas</w:t>
      </w:r>
      <w:bookmarkEnd w:id="1"/>
      <w:r w:rsidRPr="00D93F5C">
        <w:rPr>
          <w:rFonts w:ascii="Arial Narrow" w:eastAsia="Times New Roman" w:hAnsi="Arial Narrow" w:cs="Times New Roman"/>
          <w:color w:val="000000"/>
          <w:sz w:val="27"/>
          <w:szCs w:val="27"/>
          <w:lang w:val="es-ES"/>
        </w:rPr>
        <w:t>, por lo que, siendo que el Instituto tiene facultad para crear sociedades anónimas que coadyuven con éste al cumplimiento de sus metas y estos forman parte del Grupo Financiero INS constituyen servicios de salud privados, ya que no forman parte de los servicios de los sistemas de seguridad social, como claramente se establece en el numeral 2 de la Ley Nº8653 que señala que están excluidos de esta ley, los sistemas de seguridad social de la CCSS, al ser servicios públicos, bajo un sistema de solidaridad.</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bookmarkStart w:id="2" w:name="_Hlk64287808"/>
      <w:r w:rsidRPr="00D93F5C">
        <w:rPr>
          <w:rFonts w:ascii="Arial Narrow" w:eastAsia="Times New Roman" w:hAnsi="Arial Narrow" w:cs="Times New Roman"/>
          <w:color w:val="000000"/>
          <w:sz w:val="27"/>
          <w:szCs w:val="27"/>
          <w:lang w:val="es-ES_tradnl"/>
        </w:rPr>
        <w:t>Dicho lo anterior, bajo el </w:t>
      </w:r>
      <w:r w:rsidRPr="00D93F5C">
        <w:rPr>
          <w:rFonts w:ascii="Arial Narrow" w:eastAsia="Times New Roman" w:hAnsi="Arial Narrow" w:cs="Times New Roman"/>
          <w:b/>
          <w:bCs/>
          <w:color w:val="000000"/>
          <w:sz w:val="27"/>
          <w:szCs w:val="27"/>
          <w:lang w:val="es-ES_tradnl"/>
        </w:rPr>
        <w:t>primer escenario</w:t>
      </w:r>
      <w:r w:rsidRPr="00D93F5C">
        <w:rPr>
          <w:rFonts w:ascii="Arial Narrow" w:eastAsia="Times New Roman" w:hAnsi="Arial Narrow" w:cs="Times New Roman"/>
          <w:color w:val="000000"/>
          <w:sz w:val="27"/>
          <w:szCs w:val="27"/>
          <w:lang w:val="es-ES_tradnl"/>
        </w:rPr>
        <w:t>, en el momento en que el INS vende una póliza, ahí se perfecciona el negocio entre partes, debiendo el INS emitir la póliza y la factura electrónica al pagador del seguro, pues es quien debe respaldar el gasto incurrido para deducirlo del Impuesto sobre las Utilidades (ISU), tal como está estipulado </w:t>
      </w:r>
      <w:bookmarkEnd w:id="2"/>
      <w:r w:rsidRPr="00D93F5C">
        <w:rPr>
          <w:rFonts w:ascii="Arial Narrow" w:eastAsia="Times New Roman" w:hAnsi="Arial Narrow" w:cs="Times New Roman"/>
          <w:color w:val="000000"/>
          <w:sz w:val="27"/>
          <w:szCs w:val="27"/>
          <w:lang w:val="es-ES_tradnl"/>
        </w:rPr>
        <w:t>en el artículo 3 inciso 3 de la Ley del Impuesto sobre la Renta (LISR) que reza: </w:t>
      </w:r>
    </w:p>
    <w:p w:rsidR="00D93F5C" w:rsidRPr="00D93F5C" w:rsidRDefault="00D93F5C" w:rsidP="00D93F5C">
      <w:pPr>
        <w:spacing w:after="0" w:line="240" w:lineRule="auto"/>
        <w:rPr>
          <w:rFonts w:ascii="Cambria" w:eastAsia="Times New Roman" w:hAnsi="Cambria" w:cs="Times New Roman"/>
          <w:color w:val="000000"/>
          <w:sz w:val="27"/>
          <w:szCs w:val="27"/>
          <w:lang w:val="es-ES"/>
        </w:rPr>
      </w:pPr>
      <w:r w:rsidRPr="00D93F5C">
        <w:rPr>
          <w:rFonts w:ascii="Arial" w:eastAsia="Times New Roman" w:hAnsi="Arial" w:cs="Arial"/>
          <w:i/>
          <w:iCs/>
          <w:color w:val="000000"/>
          <w:lang w:val="es-ES"/>
        </w:rPr>
        <w:t> </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w:t>
      </w:r>
      <w:r w:rsidRPr="00D93F5C">
        <w:rPr>
          <w:rFonts w:ascii="Arial Narrow" w:eastAsia="Times New Roman" w:hAnsi="Arial Narrow" w:cs="Times New Roman"/>
          <w:b/>
          <w:bCs/>
          <w:i/>
          <w:iCs/>
          <w:color w:val="000000"/>
          <w:lang w:val="es-ES_tradnl"/>
        </w:rPr>
        <w:t>Artículo 3- Momento en que ocurre el hecho generador</w:t>
      </w:r>
      <w:r w:rsidRPr="00D93F5C">
        <w:rPr>
          <w:rFonts w:ascii="Arial Narrow" w:eastAsia="Times New Roman" w:hAnsi="Arial Narrow" w:cs="Times New Roman"/>
          <w:i/>
          <w:iCs/>
          <w:color w:val="000000"/>
          <w:lang w:val="es-ES_tradnl"/>
        </w:rPr>
        <w:t>. El hecho generador del impuesto ocurre:</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3. En la prestación de servicios, en el momento de la facturación o de la prestación del servicio, el acto que se realice primero.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Se debe recordar que la factura electrónica se emite al adquirente del bien o servicio, pues es quien realiza el gasto, para efectos tributarios y la factura electrónica debe respaldar el dinero ingresado; así lo estipula el artículo 3 del Reglamento de comprobantes electrónicos para efectos tributarios, Decreto Ejecutivo N° 41820 de 19 de junio de 2019, que dispone: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b/>
          <w:bCs/>
          <w:i/>
          <w:iCs/>
          <w:color w:val="000000"/>
          <w:lang w:val="es-ES_tradnl"/>
        </w:rPr>
        <w:t>“Artículo 3.- Obligación general.</w:t>
      </w:r>
      <w:r w:rsidRPr="00D93F5C">
        <w:rPr>
          <w:rFonts w:ascii="Arial Narrow" w:eastAsia="Times New Roman" w:hAnsi="Arial Narrow" w:cs="Times New Roman"/>
          <w:i/>
          <w:iCs/>
          <w:color w:val="000000"/>
          <w:lang w:val="es-ES_tradnl"/>
        </w:rPr>
        <w:t> Están obligados al uso de comprobantes electrónicos autorizados por la Administración Tributaria, los contribuyentes indicados en los artículos 2 de la Ley del Impuesto sobre la Renta y 4 de la Ley del Impuesto sobre el Valor Agregado; así como cualquier otro obligado tributario que establezca la ley.</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bookmarkStart w:id="3" w:name="_Hlk64287876"/>
      <w:r w:rsidRPr="00D93F5C">
        <w:rPr>
          <w:rFonts w:ascii="Arial Narrow" w:eastAsia="Times New Roman" w:hAnsi="Arial Narrow" w:cs="Times New Roman"/>
          <w:color w:val="000000"/>
          <w:sz w:val="27"/>
          <w:szCs w:val="27"/>
          <w:lang w:val="es-ES_tradnl"/>
        </w:rPr>
        <w:t>De manera que corresponde al INS definir la forma o procedimiento en que se rebajará de la póliza madre, los montos correspondientes a los asegurados o pólizas hijas utilizadas.  Si al vencimiento del periodo de la póliza queda un saldo a favor del tomador, el Instituto debe utilizar la Nota de Crédito para generar un saldo a favor de éste; y si por el contrario hubiera un saldo en contra, generará otra factura electrónica por la diferencia.</w:t>
      </w:r>
      <w:bookmarkEnd w:id="3"/>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Bajo el </w:t>
      </w:r>
      <w:r w:rsidRPr="00D93F5C">
        <w:rPr>
          <w:rFonts w:ascii="Arial Narrow" w:eastAsia="Times New Roman" w:hAnsi="Arial Narrow" w:cs="Times New Roman"/>
          <w:b/>
          <w:bCs/>
          <w:color w:val="000000"/>
          <w:sz w:val="27"/>
          <w:szCs w:val="27"/>
          <w:lang w:val="es-ES_tradnl"/>
        </w:rPr>
        <w:t>segundo escenario</w:t>
      </w:r>
      <w:r w:rsidRPr="00D93F5C">
        <w:rPr>
          <w:rFonts w:ascii="Arial Narrow" w:eastAsia="Times New Roman" w:hAnsi="Arial Narrow" w:cs="Times New Roman"/>
          <w:color w:val="000000"/>
          <w:sz w:val="27"/>
          <w:szCs w:val="27"/>
          <w:lang w:val="es-ES_tradnl"/>
        </w:rPr>
        <w:t>, en lo relacionado con los casos no asegurados del seguro de Riesgos del Trabajo (RT), el artículo 9, inciso 1 de la LIVA regula el tema de las no sujeciones estableciendo que no estarán sujetos a dicho impuesto, los bienes y servicios que venda, preste o adquiera la CCSS.  Lo anterior implica que todo el accionar de la CCSS no está sujeto al IVA, por lo que no está obligada a emitir comprobantes electrónicos autorizados. Señala el numeral 9 inciso 1:</w:t>
      </w:r>
    </w:p>
    <w:p w:rsidR="00D93F5C" w:rsidRPr="00D93F5C" w:rsidRDefault="00D93F5C" w:rsidP="00D93F5C">
      <w:pPr>
        <w:spacing w:after="0" w:line="240" w:lineRule="auto"/>
        <w:ind w:firstLine="70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b/>
          <w:bCs/>
          <w:i/>
          <w:iCs/>
          <w:color w:val="000000"/>
          <w:lang w:val="es-ES_tradnl"/>
        </w:rPr>
        <w:t>“Artículo 9- No sujeción. No estarán sujetas al impuesto:</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b/>
          <w:bCs/>
          <w:i/>
          <w:iCs/>
          <w:color w:val="000000"/>
          <w:lang w:val="es-ES_tradnl"/>
        </w:rPr>
        <w:br/>
        <w:t>1. Los bienes y servicios que venda, preste o adquiera la Caja Costarricense de Seguro Social (CCSS).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Verdana" w:eastAsia="Times New Roman" w:hAnsi="Verdana" w:cs="Times New Roman"/>
          <w:color w:val="000000"/>
          <w:sz w:val="20"/>
          <w:szCs w:val="20"/>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bookmarkStart w:id="4" w:name="_Hlk64288008"/>
      <w:r w:rsidRPr="00D93F5C">
        <w:rPr>
          <w:rFonts w:ascii="Arial Narrow" w:eastAsia="Times New Roman" w:hAnsi="Arial Narrow" w:cs="Times New Roman"/>
          <w:color w:val="000000"/>
          <w:sz w:val="27"/>
          <w:szCs w:val="27"/>
          <w:lang w:val="es-ES_tradnl"/>
        </w:rPr>
        <w:t>Por ello, en los casos que la CCSS sea la que preste el servicio, y se lo cobre al INS, el subsecuente cobro del INS al patrono, tampoco debe incluir el IVA respectivo, ya que no fue el INS quién brindó el servicio, sino que este ente asegurador se limita al cobro de las facturas que le fueron trasladadas por la CCSS, para su reembolso.</w:t>
      </w:r>
      <w:bookmarkEnd w:id="4"/>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Además, debemos considerar que las primas de los seguros obligatorios de RT están exentas del IVA, según lo dispone el numeral 8 inciso 28:</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“Artículo 8- Exenciones. Están exentos del pago de este impuesto:</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w:t>
      </w:r>
    </w:p>
    <w:p w:rsidR="00D93F5C" w:rsidRPr="00D93F5C" w:rsidRDefault="00D93F5C" w:rsidP="00D93F5C">
      <w:pPr>
        <w:spacing w:after="0" w:line="240" w:lineRule="auto"/>
        <w:ind w:left="426" w:right="700"/>
        <w:jc w:val="both"/>
        <w:rPr>
          <w:rFonts w:ascii="Times New Roman" w:eastAsia="Times New Roman" w:hAnsi="Times New Roman" w:cs="Times New Roman"/>
          <w:i/>
          <w:iCs/>
          <w:color w:val="000000"/>
          <w:sz w:val="28"/>
          <w:szCs w:val="28"/>
          <w:lang w:val="es-ES"/>
        </w:rPr>
      </w:pPr>
      <w:r w:rsidRPr="00D93F5C">
        <w:rPr>
          <w:rFonts w:ascii="Arial Narrow" w:eastAsia="Times New Roman" w:hAnsi="Arial Narrow" w:cs="Times New Roman"/>
          <w:i/>
          <w:iCs/>
          <w:color w:val="000000"/>
          <w:lang w:val="es-ES_tradnl"/>
        </w:rPr>
        <w:t>28. Las primas de riesgos del trabajo, agropecuarios y de viviendas de interés social.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Verdana" w:eastAsia="Times New Roman" w:hAnsi="Verdana" w:cs="Times New Roman"/>
          <w:color w:val="000000"/>
          <w:sz w:val="20"/>
          <w:szCs w:val="20"/>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Verdana" w:eastAsia="Times New Roman" w:hAnsi="Verdana" w:cs="Times New Roman"/>
          <w:color w:val="000000"/>
          <w:sz w:val="20"/>
          <w:szCs w:val="20"/>
          <w:shd w:val="clear" w:color="auto" w:fill="FFFF00"/>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bookmarkStart w:id="5" w:name="_Hlk64288270"/>
      <w:r w:rsidRPr="00D93F5C">
        <w:rPr>
          <w:rFonts w:ascii="Arial Narrow" w:eastAsia="Times New Roman" w:hAnsi="Arial Narrow" w:cs="Times New Roman"/>
          <w:color w:val="000000"/>
          <w:sz w:val="27"/>
          <w:szCs w:val="27"/>
          <w:lang w:val="es-ES_tradnl"/>
        </w:rPr>
        <w:t>En cuanto al </w:t>
      </w:r>
      <w:r w:rsidRPr="00D93F5C">
        <w:rPr>
          <w:rFonts w:ascii="Arial Narrow" w:eastAsia="Times New Roman" w:hAnsi="Arial Narrow" w:cs="Times New Roman"/>
          <w:b/>
          <w:bCs/>
          <w:color w:val="000000"/>
          <w:sz w:val="27"/>
          <w:szCs w:val="27"/>
          <w:lang w:val="es-ES_tradnl"/>
        </w:rPr>
        <w:t>tercer escenario</w:t>
      </w:r>
      <w:r w:rsidRPr="00D93F5C">
        <w:rPr>
          <w:rFonts w:ascii="Arial Narrow" w:eastAsia="Times New Roman" w:hAnsi="Arial Narrow" w:cs="Times New Roman"/>
          <w:color w:val="000000"/>
          <w:sz w:val="27"/>
          <w:szCs w:val="27"/>
          <w:lang w:val="es-ES_tradnl"/>
        </w:rPr>
        <w:t> es clara la materia tributaria en cuanto a que se emite factura electrónica a quien adquiere el bien o servicio, o lo que es lo mismo, se emite a quién incurre en el gasto.  Por tal motivo, como bien reconoce el mismo INS cuando adquiere bienes o servicios, la factura se emite a nombre de éste.</w:t>
      </w:r>
      <w:bookmarkEnd w:id="5"/>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Con base en lo anterior, lo ideal es que bajo la figura del convenio marco, el INS establezca en el pliego de condiciones, que en ese convenio pueden adquirir bienes o servicios las subsidiarias, a quienes se les deberá emitir la factura electrónica por separado por cada bien que adquieran o por cada servicio que se les preste.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De no lograrse tal ajuste en el convenio marco, el INS solamente podrá liquidar como gasto deducible la proporción que corresponda y se relacione como ingresos gravables, todo en atención y seguimiento del principio correspondiente a que cada gasto deducible debe tener un ingreso gravable asociado, aspecto así dispuesto en el artículo 7 de la Ley del Impuesto sobre la Renta (LISR). Por tales consideraciones el INS no podría liquidar como gasto deducible aquellos relacionados con sus subsidiarias; y para que éstas puedan aplicarlos deberán contar con alguna documentación o comprobante de respaldo.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Ahora bien, en relación con el IVA, el artículo 20 inciso 6) de la LIVA y 27 inciso 2) </w:t>
      </w:r>
      <w:proofErr w:type="spellStart"/>
      <w:r w:rsidRPr="00D93F5C">
        <w:rPr>
          <w:rFonts w:ascii="Arial Narrow" w:eastAsia="Times New Roman" w:hAnsi="Arial Narrow" w:cs="Times New Roman"/>
          <w:color w:val="000000"/>
          <w:sz w:val="27"/>
          <w:szCs w:val="27"/>
          <w:lang w:val="es-ES_tradnl"/>
        </w:rPr>
        <w:t>subinciso</w:t>
      </w:r>
      <w:proofErr w:type="spellEnd"/>
      <w:r w:rsidRPr="00D93F5C">
        <w:rPr>
          <w:rFonts w:ascii="Arial Narrow" w:eastAsia="Times New Roman" w:hAnsi="Arial Narrow" w:cs="Times New Roman"/>
          <w:color w:val="000000"/>
          <w:sz w:val="27"/>
          <w:szCs w:val="27"/>
          <w:lang w:val="es-ES_tradnl"/>
        </w:rPr>
        <w:t> c de su reglamento habilitan la posibilidad de aplicar el crédito fiscal de forma proporcional a cada adquiriente, en el tanto dispongan de un comprobante que así lo evidencie. Sin </w:t>
      </w:r>
      <w:proofErr w:type="gramStart"/>
      <w:r w:rsidRPr="00D93F5C">
        <w:rPr>
          <w:rFonts w:ascii="Arial Narrow" w:eastAsia="Times New Roman" w:hAnsi="Arial Narrow" w:cs="Times New Roman"/>
          <w:color w:val="000000"/>
          <w:sz w:val="27"/>
          <w:szCs w:val="27"/>
          <w:lang w:val="es-ES_tradnl"/>
        </w:rPr>
        <w:t>embargo</w:t>
      </w:r>
      <w:proofErr w:type="gramEnd"/>
      <w:r w:rsidRPr="00D93F5C">
        <w:rPr>
          <w:rFonts w:ascii="Arial Narrow" w:eastAsia="Times New Roman" w:hAnsi="Arial Narrow" w:cs="Times New Roman"/>
          <w:color w:val="000000"/>
          <w:sz w:val="27"/>
          <w:szCs w:val="27"/>
          <w:lang w:val="es-ES_tradnl"/>
        </w:rPr>
        <w:t> para ello, debe tanto el INS como sus subsidiarias aparecer como adquirentes del bien o servicio respectivo.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Caso contrario, el INS solo podrá aplicar como gasto el monto proporcional de la factura que se encuentre asociado a los ingresos gravables, sin posibilidad de que tal monto sea trasladado a sus subsidiarias; y sólo el INS se puede aplicar el crédito respectivo, porque la factura por la suma total está a nombre del INS.  Para que las subsidiarias puedan utilizar las facturas como gastos, las facturas deben provenir de quién vende el bien o presta el servicio (en este caso de los proveedores del bien o servicio) y estar a nombre de las subsidiarias para poder rebajar el gasto y aplicarse el crédito correspondiente.</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bookmarkStart w:id="6" w:name="_Hlk64288394"/>
      <w:r w:rsidRPr="00D93F5C">
        <w:rPr>
          <w:rFonts w:ascii="Arial Narrow" w:eastAsia="Times New Roman" w:hAnsi="Arial Narrow" w:cs="Times New Roman"/>
          <w:color w:val="000000"/>
          <w:sz w:val="27"/>
          <w:szCs w:val="27"/>
          <w:lang w:val="es-ES_tradnl"/>
        </w:rPr>
        <w:t>Dicho lo anterior, se procede a dar respuesta a cada una de las interrogantes planteadas:</w:t>
      </w:r>
      <w:bookmarkEnd w:id="6"/>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1)</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¿Es factible en una póliza con la modalidad de cuenta corriente, entregar la factura electrónica</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ind w:left="708"/>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No.  No es factible.  La factura debe ser emitida por el INS al pagador del seguro por el monto de la prima que este pague, de la cual deberá descontarse cada póliza hija respectiva.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2)</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¿Debe el Instituto emitir factura electrónica por el depósito inicial en la póliza madre? ¿En caso de ser afirmativo su respuesta, como se procede con la emisión de cada póliza hija?</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Es correcto. El INS debe emitir la factura electrónica al pagador del primaje inicial y deberá establecer a lo interno el procedimiento para rebajar de dicho monto, las pólizas hijas, según  se vaya gastando y en caso de sobrar un remanente al vencimiento del periodo póliza, el INS debe confeccionar una Nota de Crédito a favor del tomador del seguro.</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3)</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¿En el cobro emitido por el Instituto al patrono de una persona no asegurada por el régimen de Riesgos del Trabajo, se debe de incorporar el impuesto al valor agregado?  ¿En caso de ser afirmativo, cual tarifa se debe de incorporar?</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En los casos de personas no aseguradas, en el seguro de RT, si el INS es quien brinda el servicio, debe cobrar el IVA correspondiente a un 4%, pero si el servicio lo brinda la CCSS, al ser una entidad no sujeta a dicho impuesto, el INS no puede cobrar un impuesto por un servicio que él no brindó y que por ley no está gravado con dicho impuesto; ya que la CCSS es no sujeta a dicho impuesto.</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4)</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¿Debe el Instituto emitir factura electrónica, a los patronos, por la cancelación de los adeudos asociados a casos no asegurados?</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El INS no debe emitir factura electrónica para efectos tributarios, por los casos no asegurados, cuyo servicio es prestado por la CCSS, por cuanto no puede facturar a nombre de otra persona o empresa, que fue la que brindó el servicio.  Deberá definir el procedimiento a través del cual pueda realizar el cobro administrativo al patrono. Tómese en consideración que el INS solo puede facturar electrónicamente los servicios gravados con IVA que él venda, no otros.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Diferente es si el servicio lo brindó el propio INS, en ese caso sí puede emitir factura electrónica por tal servicio, porque forma parte del giro comercial de éste.</w:t>
      </w:r>
    </w:p>
    <w:p w:rsidR="00D93F5C" w:rsidRPr="00D93F5C" w:rsidRDefault="00D93F5C" w:rsidP="00D93F5C">
      <w:pPr>
        <w:spacing w:after="0" w:line="240" w:lineRule="auto"/>
        <w:ind w:left="720"/>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5)</w:t>
      </w:r>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¿Mediante la implementación de un convenio marco entre el INS y sus Subsidiarias, al amparo del artículo 115 del Reglamento a la Ley de Contratación Administrativa, se puede utilizar el mecanismo de reembolso, del INS hacia sus Subsidiarias, para efectos de que el INS recupere la factura pagada al proveedor de manera consolidada?</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No.  Para que las subsidiarias puedan aplicar el gasto o el crédito, tales erogaciones deben estar respaldadas por factura electrónica autorizada y/o comprobante electrónico.  En este caso, el proveedor de los bienes o servicios debe facturar a cada una por separado, ya que son personas jurídicas independientes.  Caso contrario, sólo el INS puede aplicar la factura y los créditos correspondientes, únicamente por la proporción que corresponda a los ingresos gravables.</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w:eastAsia="Times New Roman" w:hAnsi="Arial" w:cs="Arial"/>
          <w:color w:val="000000"/>
          <w:lang w:val="es-ES"/>
        </w:rPr>
        <w:t> </w:t>
      </w:r>
    </w:p>
    <w:p w:rsidR="00D93F5C" w:rsidRPr="00D93F5C" w:rsidRDefault="00D93F5C" w:rsidP="00D93F5C">
      <w:pPr>
        <w:spacing w:after="0" w:line="240" w:lineRule="auto"/>
        <w:ind w:left="720" w:hanging="36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6)</w:t>
      </w:r>
      <w:r w:rsidRPr="00D93F5C">
        <w:rPr>
          <w:rFonts w:ascii="Times New Roman" w:eastAsia="Times New Roman" w:hAnsi="Times New Roman" w:cs="Times New Roman"/>
          <w:color w:val="000000"/>
          <w:sz w:val="14"/>
          <w:szCs w:val="14"/>
          <w:lang w:val="es-ES"/>
        </w:rPr>
        <w:t>   </w:t>
      </w:r>
      <w:proofErr w:type="gramStart"/>
      <w:r w:rsidRPr="00D93F5C">
        <w:rPr>
          <w:rFonts w:ascii="Times New Roman" w:eastAsia="Times New Roman" w:hAnsi="Times New Roman" w:cs="Times New Roman"/>
          <w:color w:val="000000"/>
          <w:sz w:val="14"/>
          <w:szCs w:val="14"/>
          <w:lang w:val="es-ES"/>
        </w:rPr>
        <w:t>   </w:t>
      </w:r>
      <w:r w:rsidRPr="00D93F5C">
        <w:rPr>
          <w:rFonts w:ascii="Arial Narrow" w:eastAsia="Times New Roman" w:hAnsi="Arial Narrow" w:cs="Calibri"/>
          <w:color w:val="000000"/>
          <w:sz w:val="24"/>
          <w:szCs w:val="24"/>
          <w:lang w:val="es-ES"/>
        </w:rPr>
        <w:t>¿</w:t>
      </w:r>
      <w:proofErr w:type="gramEnd"/>
      <w:r w:rsidRPr="00D93F5C">
        <w:rPr>
          <w:rFonts w:ascii="Arial Narrow" w:eastAsia="Times New Roman" w:hAnsi="Arial Narrow" w:cs="Calibri"/>
          <w:color w:val="000000"/>
          <w:sz w:val="24"/>
          <w:szCs w:val="24"/>
          <w:lang w:val="es-ES"/>
        </w:rPr>
        <w:t>En caso de que, no se avale por parte de esa Dirección el mecanismo de reembolso, debe el INS, facturar a cada subsidiaria por la proporción del servicio consumido?”</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 </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sz w:val="24"/>
          <w:szCs w:val="24"/>
          <w:lang w:val="es-ES"/>
        </w:rPr>
        <w:t>No, tal como se explicó anteriormente, el INS no puede emitir una factura electrónica por un servicio que no vende o por bienes que no vende.  Pero sí podrá emitir u comprobante que permita su verificación y que evidencie que las subsidiarias son adquirentes también de los bienes y servicios.</w:t>
      </w:r>
    </w:p>
    <w:p w:rsidR="00D93F5C" w:rsidRPr="00D93F5C" w:rsidRDefault="00D93F5C" w:rsidP="00D93F5C">
      <w:pPr>
        <w:spacing w:after="0" w:line="240" w:lineRule="auto"/>
        <w:ind w:left="720"/>
        <w:jc w:val="both"/>
        <w:rPr>
          <w:rFonts w:ascii="Calibri" w:eastAsia="Times New Roman" w:hAnsi="Calibri" w:cs="Calibri"/>
          <w:color w:val="000000"/>
          <w:lang w:val="es-ES"/>
        </w:rPr>
      </w:pPr>
      <w:r w:rsidRPr="00D93F5C">
        <w:rPr>
          <w:rFonts w:ascii="Arial Narrow" w:eastAsia="Times New Roman" w:hAnsi="Arial Narrow" w:cs="Calibri"/>
          <w:color w:val="000000"/>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De esta manera quedan atendidas las consultas formuladas. El criterio expresado en el presente documento se basa en los hechos expuestos por el consultante y en el análisis de la legislación vigente previamente citada, por lo que, en caso de presentarse hechos diferentes a los expresados en el documento de consulta, deberá aplicarse la normativa correspondiente.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7"/>
          <w:szCs w:val="27"/>
          <w:lang w:val="es-ES_tradnl"/>
        </w:rPr>
        <w:t> </w:t>
      </w:r>
    </w:p>
    <w:p w:rsidR="00D93F5C" w:rsidRPr="00D93F5C" w:rsidRDefault="00D93F5C" w:rsidP="00D93F5C">
      <w:pPr>
        <w:spacing w:after="0" w:line="240" w:lineRule="auto"/>
        <w:jc w:val="both"/>
        <w:textAlignment w:val="baseline"/>
        <w:rPr>
          <w:rFonts w:ascii="Times New Roman" w:eastAsia="Times New Roman" w:hAnsi="Times New Roman" w:cs="Times New Roman"/>
          <w:color w:val="000000"/>
          <w:sz w:val="27"/>
          <w:szCs w:val="27"/>
          <w:lang w:val="es-ES"/>
        </w:rPr>
      </w:pPr>
      <w:r w:rsidRPr="00D93F5C">
        <w:rPr>
          <w:rFonts w:ascii="Arial Narrow" w:eastAsia="Times New Roman" w:hAnsi="Arial Narrow" w:cs="Times New Roman"/>
          <w:color w:val="000000"/>
          <w:sz w:val="27"/>
          <w:szCs w:val="27"/>
          <w:lang w:val="es-ES"/>
        </w:rPr>
        <w:t>Cordialmente, </w:t>
      </w:r>
    </w:p>
    <w:p w:rsidR="00D93F5C" w:rsidRPr="00D93F5C" w:rsidRDefault="00D93F5C" w:rsidP="00D93F5C">
      <w:pPr>
        <w:spacing w:after="0" w:line="240" w:lineRule="auto"/>
        <w:ind w:left="1418"/>
        <w:jc w:val="both"/>
        <w:textAlignment w:val="baseline"/>
        <w:rPr>
          <w:rFonts w:ascii="Times New Roman" w:eastAsia="Times New Roman" w:hAnsi="Times New Roman" w:cs="Times New Roman"/>
          <w:color w:val="000000"/>
          <w:sz w:val="27"/>
          <w:szCs w:val="27"/>
          <w:lang w:val="es-ES"/>
        </w:rPr>
      </w:pPr>
      <w:r w:rsidRPr="00D93F5C">
        <w:rPr>
          <w:rFonts w:ascii="Times New Roman" w:eastAsia="Times New Roman" w:hAnsi="Times New Roman" w:cs="Times New Roman"/>
          <w:color w:val="000000"/>
          <w:sz w:val="27"/>
          <w:szCs w:val="27"/>
          <w:lang w:val="es-ES"/>
        </w:rPr>
        <w:t> </w:t>
      </w:r>
    </w:p>
    <w:p w:rsidR="00D93F5C" w:rsidRPr="00D93F5C" w:rsidRDefault="00D93F5C" w:rsidP="00D93F5C">
      <w:pPr>
        <w:spacing w:after="0" w:line="240" w:lineRule="auto"/>
        <w:ind w:left="1418"/>
        <w:jc w:val="both"/>
        <w:textAlignment w:val="baseline"/>
        <w:rPr>
          <w:rFonts w:ascii="Times New Roman" w:eastAsia="Times New Roman" w:hAnsi="Times New Roman" w:cs="Times New Roman"/>
          <w:color w:val="000000"/>
          <w:sz w:val="27"/>
          <w:szCs w:val="27"/>
          <w:lang w:val="es-ES"/>
        </w:rPr>
      </w:pPr>
      <w:r w:rsidRPr="00D93F5C">
        <w:rPr>
          <w:rFonts w:ascii="Arial Narrow" w:eastAsia="Times New Roman" w:hAnsi="Arial Narrow" w:cs="Times New Roman"/>
          <w:color w:val="000000"/>
          <w:sz w:val="27"/>
          <w:szCs w:val="27"/>
          <w:lang w:val="es-ES"/>
        </w:rPr>
        <w:t> </w:t>
      </w:r>
    </w:p>
    <w:p w:rsidR="00D93F5C" w:rsidRPr="00D93F5C" w:rsidRDefault="00D93F5C" w:rsidP="00D93F5C">
      <w:pPr>
        <w:spacing w:after="0" w:line="240" w:lineRule="auto"/>
        <w:jc w:val="center"/>
        <w:textAlignment w:val="baseline"/>
        <w:rPr>
          <w:rFonts w:ascii="Times New Roman" w:eastAsia="Times New Roman" w:hAnsi="Times New Roman" w:cs="Times New Roman"/>
          <w:color w:val="000000"/>
          <w:sz w:val="27"/>
          <w:szCs w:val="27"/>
          <w:lang w:val="es-ES"/>
        </w:rPr>
      </w:pPr>
      <w:r w:rsidRPr="00D93F5C">
        <w:rPr>
          <w:rFonts w:ascii="Arial Narrow" w:eastAsia="Times New Roman" w:hAnsi="Arial Narrow" w:cs="Times New Roman"/>
          <w:color w:val="000000"/>
          <w:sz w:val="27"/>
          <w:szCs w:val="27"/>
          <w:lang w:val="es-ES"/>
        </w:rPr>
        <w:t>Carlos Vargas Durán</w:t>
      </w:r>
    </w:p>
    <w:p w:rsidR="00D93F5C" w:rsidRPr="00D93F5C" w:rsidRDefault="00D93F5C" w:rsidP="00D93F5C">
      <w:pPr>
        <w:spacing w:after="0" w:line="240" w:lineRule="auto"/>
        <w:jc w:val="center"/>
        <w:textAlignment w:val="baseline"/>
        <w:rPr>
          <w:rFonts w:ascii="Times New Roman" w:eastAsia="Times New Roman" w:hAnsi="Times New Roman" w:cs="Times New Roman"/>
          <w:color w:val="000000"/>
          <w:sz w:val="27"/>
          <w:szCs w:val="27"/>
          <w:lang w:val="es-ES"/>
        </w:rPr>
      </w:pPr>
      <w:r w:rsidRPr="00D93F5C">
        <w:rPr>
          <w:rFonts w:ascii="Arial Narrow" w:eastAsia="Times New Roman" w:hAnsi="Arial Narrow" w:cs="Times New Roman"/>
          <w:color w:val="000000"/>
          <w:sz w:val="27"/>
          <w:szCs w:val="27"/>
          <w:lang w:val="es-ES"/>
        </w:rPr>
        <w:t>Director General de Tributación</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18"/>
          <w:szCs w:val="18"/>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18"/>
          <w:szCs w:val="18"/>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18"/>
          <w:szCs w:val="18"/>
          <w:lang w:val="es-ES"/>
        </w:rPr>
        <w:t>SCalvoS / ACalderón</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20"/>
          <w:szCs w:val="20"/>
          <w:lang w:val="es-ES"/>
        </w:rPr>
        <w:t> </w:t>
      </w:r>
    </w:p>
    <w:p w:rsidR="00D93F5C" w:rsidRPr="00D93F5C" w:rsidRDefault="00D93F5C" w:rsidP="00D93F5C">
      <w:pPr>
        <w:spacing w:after="0" w:line="240" w:lineRule="auto"/>
        <w:jc w:val="both"/>
        <w:rPr>
          <w:rFonts w:ascii="Cambria" w:eastAsia="Times New Roman" w:hAnsi="Cambria" w:cs="Times New Roman"/>
          <w:color w:val="000000"/>
          <w:sz w:val="27"/>
          <w:szCs w:val="27"/>
          <w:lang w:val="es-ES"/>
        </w:rPr>
      </w:pPr>
      <w:r w:rsidRPr="00D93F5C">
        <w:rPr>
          <w:rFonts w:ascii="Arial Narrow" w:eastAsia="Times New Roman" w:hAnsi="Arial Narrow" w:cs="Times New Roman"/>
          <w:color w:val="000000"/>
          <w:sz w:val="16"/>
          <w:szCs w:val="16"/>
          <w:lang w:val="es-ES"/>
        </w:rPr>
        <w:t>C/ Dirección General de Tributación, Expediente,</w:t>
      </w:r>
    </w:p>
    <w:p w:rsidR="00D93F5C" w:rsidRPr="00D93F5C" w:rsidRDefault="00D93F5C" w:rsidP="00D93F5C">
      <w:pPr>
        <w:spacing w:after="0" w:line="240" w:lineRule="auto"/>
        <w:jc w:val="both"/>
        <w:rPr>
          <w:rFonts w:ascii="Cambria" w:eastAsia="Times New Roman" w:hAnsi="Cambria" w:cs="Times New Roman"/>
          <w:color w:val="000000"/>
          <w:sz w:val="27"/>
          <w:szCs w:val="27"/>
        </w:rPr>
      </w:pPr>
      <w:r w:rsidRPr="00D93F5C">
        <w:rPr>
          <w:rFonts w:ascii="Arial Narrow" w:eastAsia="Times New Roman" w:hAnsi="Arial Narrow" w:cs="Times New Roman"/>
          <w:color w:val="000000"/>
          <w:sz w:val="16"/>
          <w:szCs w:val="16"/>
          <w:lang w:val="es-ES"/>
        </w:rPr>
        <w:t>     </w:t>
      </w:r>
      <w:proofErr w:type="spellStart"/>
      <w:r w:rsidRPr="00D93F5C">
        <w:rPr>
          <w:rFonts w:ascii="Arial Narrow" w:eastAsia="Times New Roman" w:hAnsi="Arial Narrow" w:cs="Times New Roman"/>
          <w:color w:val="000000"/>
          <w:sz w:val="16"/>
          <w:szCs w:val="16"/>
        </w:rPr>
        <w:t>Subdirección</w:t>
      </w:r>
      <w:proofErr w:type="spellEnd"/>
      <w:r w:rsidRPr="00D93F5C">
        <w:rPr>
          <w:rFonts w:ascii="Arial Narrow" w:eastAsia="Times New Roman" w:hAnsi="Arial Narrow" w:cs="Times New Roman"/>
          <w:color w:val="000000"/>
          <w:sz w:val="16"/>
          <w:szCs w:val="16"/>
        </w:rPr>
        <w:t xml:space="preserve"> de </w:t>
      </w:r>
      <w:proofErr w:type="spellStart"/>
      <w:r w:rsidRPr="00D93F5C">
        <w:rPr>
          <w:rFonts w:ascii="Arial Narrow" w:eastAsia="Times New Roman" w:hAnsi="Arial Narrow" w:cs="Times New Roman"/>
          <w:color w:val="000000"/>
          <w:sz w:val="16"/>
          <w:szCs w:val="16"/>
        </w:rPr>
        <w:t>Digesto</w:t>
      </w:r>
      <w:proofErr w:type="spellEnd"/>
      <w:r w:rsidRPr="00D93F5C">
        <w:rPr>
          <w:rFonts w:ascii="Arial Narrow" w:eastAsia="Times New Roman" w:hAnsi="Arial Narrow" w:cs="Times New Roman"/>
          <w:color w:val="000000"/>
          <w:sz w:val="16"/>
          <w:szCs w:val="16"/>
        </w:rPr>
        <w:t xml:space="preserve"> </w:t>
      </w:r>
      <w:proofErr w:type="spellStart"/>
      <w:r w:rsidRPr="00D93F5C">
        <w:rPr>
          <w:rFonts w:ascii="Arial Narrow" w:eastAsia="Times New Roman" w:hAnsi="Arial Narrow" w:cs="Times New Roman"/>
          <w:color w:val="000000"/>
          <w:sz w:val="16"/>
          <w:szCs w:val="16"/>
        </w:rPr>
        <w:t>Tributario</w:t>
      </w:r>
      <w:proofErr w:type="spellEnd"/>
      <w:r w:rsidRPr="00D93F5C">
        <w:rPr>
          <w:rFonts w:ascii="Arial Narrow" w:eastAsia="Times New Roman" w:hAnsi="Arial Narrow" w:cs="Times New Roman"/>
          <w:color w:val="000000"/>
          <w:sz w:val="16"/>
          <w:szCs w:val="16"/>
        </w:rPr>
        <w:t>.</w:t>
      </w:r>
    </w:p>
    <w:p w:rsidR="00031B7F" w:rsidRDefault="00031B7F">
      <w:bookmarkStart w:id="7" w:name="_GoBack"/>
      <w:bookmarkEnd w:id="7"/>
    </w:p>
    <w:sectPr w:rsidR="00031B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F5C"/>
    <w:rsid w:val="00031B7F"/>
    <w:rsid w:val="009915AC"/>
    <w:rsid w:val="00D93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47AC9-E62D-45B1-B669-D7116DFE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72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4294</Words>
  <Characters>24478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Rodríguez Gamboa</dc:creator>
  <cp:keywords/>
  <dc:description/>
  <cp:lastModifiedBy>Flor Rodríguez Gamboa</cp:lastModifiedBy>
  <cp:revision>1</cp:revision>
  <dcterms:created xsi:type="dcterms:W3CDTF">2021-03-21T03:33:00Z</dcterms:created>
  <dcterms:modified xsi:type="dcterms:W3CDTF">2021-03-21T03:37:00Z</dcterms:modified>
</cp:coreProperties>
</file>