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38"/>
        <w:tblW w:w="444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445"/>
      </w:tblGrid>
      <w:tr w:rsidR="006A3DD9" w:rsidRPr="0078029A" w14:paraId="301B0449" w14:textId="77777777" w:rsidTr="006A3DD9">
        <w:trPr>
          <w:trHeight w:val="3035"/>
        </w:trPr>
        <w:tc>
          <w:tcPr>
            <w:tcW w:w="4445" w:type="dxa"/>
            <w:tcBorders>
              <w:top w:val="single" w:sz="4" w:space="0" w:color="auto"/>
              <w:left w:val="single" w:sz="4" w:space="0" w:color="auto"/>
              <w:bottom w:val="single" w:sz="4" w:space="0" w:color="auto"/>
              <w:right w:val="single" w:sz="4" w:space="0" w:color="auto"/>
            </w:tcBorders>
          </w:tcPr>
          <w:p w14:paraId="5592E406" w14:textId="77777777" w:rsidR="006A3DD9" w:rsidRPr="0078029A" w:rsidRDefault="006A3DD9" w:rsidP="006A3DD9">
            <w:pPr>
              <w:spacing w:after="0" w:line="240" w:lineRule="auto"/>
              <w:jc w:val="center"/>
              <w:rPr>
                <w:rFonts w:ascii="Georgia" w:eastAsia="Times New Roman" w:hAnsi="Georgia" w:cs="Arial"/>
                <w:color w:val="808080"/>
                <w:sz w:val="72"/>
                <w:szCs w:val="24"/>
                <w:lang w:eastAsia="es-CR"/>
              </w:rPr>
            </w:pPr>
            <w:r w:rsidRPr="0078029A">
              <w:rPr>
                <w:rFonts w:ascii="Georgia" w:eastAsia="Times New Roman" w:hAnsi="Georgia" w:cs="Tahoma"/>
                <w:color w:val="FFFFFF"/>
                <w:sz w:val="72"/>
                <w:szCs w:val="24"/>
                <w:shd w:val="clear" w:color="auto" w:fill="000080"/>
                <w:lang w:eastAsia="es-CR"/>
              </w:rPr>
              <w:t>D</w:t>
            </w:r>
            <w:r w:rsidRPr="0078029A">
              <w:rPr>
                <w:rFonts w:ascii="Georgia" w:eastAsia="Times New Roman" w:hAnsi="Georgia" w:cs="Arial"/>
                <w:b/>
                <w:bCs/>
                <w:color w:val="808080"/>
                <w:sz w:val="72"/>
                <w:szCs w:val="24"/>
                <w:lang w:eastAsia="es-CR"/>
              </w:rPr>
              <w:t>octrina</w:t>
            </w:r>
            <w:r w:rsidRPr="0078029A">
              <w:rPr>
                <w:rFonts w:ascii="Georgia" w:eastAsia="Times New Roman" w:hAnsi="Georgia" w:cs="Arial"/>
                <w:color w:val="808080"/>
                <w:sz w:val="72"/>
                <w:szCs w:val="24"/>
                <w:lang w:eastAsia="es-CR"/>
              </w:rPr>
              <w:t>:</w:t>
            </w:r>
          </w:p>
          <w:p w14:paraId="7F429238" w14:textId="6E43B1AB" w:rsidR="006A3DD9" w:rsidRPr="0078029A" w:rsidRDefault="009863E2" w:rsidP="006A3DD9">
            <w:pPr>
              <w:spacing w:after="0" w:line="240" w:lineRule="auto"/>
              <w:jc w:val="both"/>
              <w:rPr>
                <w:rFonts w:ascii="Georgia" w:eastAsia="Times New Roman" w:hAnsi="Georgia" w:cs="Times New Roman"/>
                <w:b/>
                <w:sz w:val="28"/>
                <w:szCs w:val="28"/>
                <w:lang w:val="es-MX" w:eastAsia="es-CR"/>
              </w:rPr>
            </w:pPr>
            <w:r>
              <w:rPr>
                <w:rFonts w:ascii="Georgia" w:eastAsia="Times New Roman" w:hAnsi="Georgia" w:cs="Times New Roman"/>
                <w:b/>
                <w:sz w:val="28"/>
                <w:szCs w:val="28"/>
                <w:lang w:val="es-MX" w:eastAsia="es-CR"/>
              </w:rPr>
              <w:t>Régimen de impuesto a utilidades, régimen de r</w:t>
            </w:r>
            <w:r w:rsidR="009B4A82">
              <w:rPr>
                <w:rFonts w:ascii="Georgia" w:eastAsia="Times New Roman" w:hAnsi="Georgia" w:cs="Times New Roman"/>
                <w:b/>
                <w:sz w:val="28"/>
                <w:szCs w:val="28"/>
                <w:lang w:val="es-MX" w:eastAsia="es-CR"/>
              </w:rPr>
              <w:t>entas de capital, ga</w:t>
            </w:r>
            <w:r w:rsidR="00C044DC" w:rsidRPr="0078029A">
              <w:rPr>
                <w:rFonts w:ascii="Georgia" w:eastAsia="Times New Roman" w:hAnsi="Georgia" w:cs="Times New Roman"/>
                <w:b/>
                <w:sz w:val="28"/>
                <w:szCs w:val="28"/>
                <w:lang w:val="es-MX" w:eastAsia="es-CR"/>
              </w:rPr>
              <w:t>nancias de capital</w:t>
            </w:r>
            <w:r w:rsidR="009B4A82">
              <w:rPr>
                <w:rFonts w:ascii="Georgia" w:eastAsia="Times New Roman" w:hAnsi="Georgia" w:cs="Times New Roman"/>
                <w:b/>
                <w:sz w:val="28"/>
                <w:szCs w:val="28"/>
                <w:lang w:val="es-MX" w:eastAsia="es-CR"/>
              </w:rPr>
              <w:t xml:space="preserve"> y el diferencial cambiario.</w:t>
            </w:r>
          </w:p>
          <w:p w14:paraId="37F05898" w14:textId="77777777" w:rsidR="006A3DD9" w:rsidRPr="0078029A" w:rsidRDefault="006A3DD9" w:rsidP="006A3DD9">
            <w:pPr>
              <w:spacing w:after="0" w:line="240" w:lineRule="auto"/>
              <w:jc w:val="both"/>
              <w:rPr>
                <w:rFonts w:ascii="Georgia" w:eastAsia="Times New Roman" w:hAnsi="Georgia" w:cs="Times New Roman"/>
                <w:b/>
                <w:sz w:val="20"/>
                <w:szCs w:val="20"/>
                <w:lang w:eastAsia="es-CR"/>
              </w:rPr>
            </w:pPr>
          </w:p>
          <w:p w14:paraId="1A838893" w14:textId="77777777" w:rsidR="006A3DD9" w:rsidRPr="0078029A" w:rsidRDefault="006A3DD9" w:rsidP="006A3DD9">
            <w:pPr>
              <w:spacing w:after="0" w:line="240" w:lineRule="auto"/>
              <w:jc w:val="both"/>
              <w:rPr>
                <w:rFonts w:ascii="Georgia" w:eastAsia="Times New Roman" w:hAnsi="Georgia" w:cs="Times New Roman"/>
                <w:b/>
                <w:lang w:eastAsia="es-CR"/>
              </w:rPr>
            </w:pPr>
            <w:r w:rsidRPr="0078029A">
              <w:rPr>
                <w:rFonts w:ascii="Georgia" w:eastAsia="Times New Roman" w:hAnsi="Georgia" w:cs="Times New Roman"/>
                <w:b/>
                <w:lang w:eastAsia="es-CR"/>
              </w:rPr>
              <w:t xml:space="preserve">Por </w:t>
            </w:r>
            <w:r w:rsidR="00C044DC" w:rsidRPr="0078029A">
              <w:rPr>
                <w:rFonts w:ascii="Georgia" w:eastAsia="Times New Roman" w:hAnsi="Georgia" w:cs="Times New Roman"/>
                <w:b/>
                <w:lang w:eastAsia="es-CR"/>
              </w:rPr>
              <w:t>Erik Ramírez, CPA, MAF, MFI</w:t>
            </w:r>
          </w:p>
          <w:p w14:paraId="431B4293" w14:textId="77777777" w:rsidR="00C044DC" w:rsidRPr="0078029A" w:rsidRDefault="00C044DC" w:rsidP="006A3DD9">
            <w:pPr>
              <w:spacing w:after="0" w:line="240" w:lineRule="auto"/>
              <w:jc w:val="both"/>
              <w:rPr>
                <w:rFonts w:ascii="Georgia" w:eastAsia="Times New Roman" w:hAnsi="Georgia" w:cs="Times New Roman"/>
                <w:b/>
                <w:lang w:val="es-MX" w:eastAsia="es-CR"/>
              </w:rPr>
            </w:pPr>
            <w:r w:rsidRPr="0078029A">
              <w:rPr>
                <w:rFonts w:ascii="Georgia" w:eastAsia="Times New Roman" w:hAnsi="Georgia" w:cs="Times New Roman"/>
                <w:b/>
                <w:lang w:val="es-MX" w:eastAsia="es-CR"/>
              </w:rPr>
              <w:t xml:space="preserve">Erik, es gerente de impuestos en </w:t>
            </w:r>
            <w:proofErr w:type="spellStart"/>
            <w:r w:rsidRPr="0078029A">
              <w:rPr>
                <w:rFonts w:ascii="Georgia" w:eastAsia="Times New Roman" w:hAnsi="Georgia" w:cs="Times New Roman"/>
                <w:b/>
                <w:lang w:val="es-MX" w:eastAsia="es-CR"/>
              </w:rPr>
              <w:t>Faycatax</w:t>
            </w:r>
            <w:proofErr w:type="spellEnd"/>
            <w:r w:rsidRPr="0078029A">
              <w:rPr>
                <w:rFonts w:ascii="Georgia" w:eastAsia="Times New Roman" w:hAnsi="Georgia" w:cs="Times New Roman"/>
                <w:b/>
                <w:lang w:val="es-MX" w:eastAsia="es-CR"/>
              </w:rPr>
              <w:t xml:space="preserve">, la división de impuestos del Bufete Facio &amp; Cañas en Costa </w:t>
            </w:r>
            <w:r w:rsidR="006F479C">
              <w:rPr>
                <w:rFonts w:ascii="Georgia" w:eastAsia="Times New Roman" w:hAnsi="Georgia" w:cs="Times New Roman"/>
                <w:b/>
                <w:lang w:val="es-MX" w:eastAsia="es-CR"/>
              </w:rPr>
              <w:t>R</w:t>
            </w:r>
            <w:r w:rsidRPr="0078029A">
              <w:rPr>
                <w:rFonts w:ascii="Georgia" w:eastAsia="Times New Roman" w:hAnsi="Georgia" w:cs="Times New Roman"/>
                <w:b/>
                <w:lang w:val="es-MX" w:eastAsia="es-CR"/>
              </w:rPr>
              <w:t>ica</w:t>
            </w:r>
          </w:p>
          <w:p w14:paraId="07D5CCB6" w14:textId="77777777" w:rsidR="006A3DD9" w:rsidRPr="0078029A" w:rsidRDefault="006A3DD9" w:rsidP="00C044DC">
            <w:pPr>
              <w:spacing w:after="120" w:line="240" w:lineRule="auto"/>
              <w:rPr>
                <w:rFonts w:ascii="Georgia" w:eastAsia="Times New Roman" w:hAnsi="Georgia" w:cs="Times New Roman"/>
                <w:sz w:val="20"/>
                <w:szCs w:val="20"/>
                <w:lang w:eastAsia="es-CR"/>
              </w:rPr>
            </w:pPr>
          </w:p>
        </w:tc>
      </w:tr>
    </w:tbl>
    <w:p w14:paraId="178037C5"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2CE82C7A"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61FF08BA"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0FFEC18F"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3B543356"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28424069"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10ADD1A4"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77503DB7"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5C5C9E13"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68291DD6"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0C6A79E8"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6BD3609E"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272E751A"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3C4F28E8"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43E12A8B"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3029DD4E" w14:textId="3603EA8D" w:rsidR="006A3DD9" w:rsidRDefault="006A3DD9" w:rsidP="006A3DD9">
      <w:pPr>
        <w:spacing w:after="0" w:line="240" w:lineRule="auto"/>
        <w:rPr>
          <w:rFonts w:ascii="Georgia" w:eastAsia="Times New Roman" w:hAnsi="Georgia" w:cs="Times New Roman"/>
          <w:sz w:val="20"/>
          <w:szCs w:val="20"/>
          <w:lang w:val="es-ES" w:eastAsia="es-CR"/>
        </w:rPr>
      </w:pPr>
    </w:p>
    <w:p w14:paraId="4F49FFC2" w14:textId="64E59BD4" w:rsidR="009863E2" w:rsidRDefault="009863E2" w:rsidP="006A3DD9">
      <w:pPr>
        <w:spacing w:after="0" w:line="240" w:lineRule="auto"/>
        <w:rPr>
          <w:rFonts w:ascii="Georgia" w:eastAsia="Times New Roman" w:hAnsi="Georgia" w:cs="Times New Roman"/>
          <w:sz w:val="20"/>
          <w:szCs w:val="20"/>
          <w:lang w:val="es-ES" w:eastAsia="es-CR"/>
        </w:rPr>
      </w:pPr>
    </w:p>
    <w:p w14:paraId="5797F280" w14:textId="7B3EF435" w:rsidR="009863E2" w:rsidRDefault="009863E2" w:rsidP="006A3DD9">
      <w:pPr>
        <w:spacing w:after="0" w:line="240" w:lineRule="auto"/>
        <w:rPr>
          <w:rFonts w:ascii="Georgia" w:eastAsia="Times New Roman" w:hAnsi="Georgia" w:cs="Times New Roman"/>
          <w:sz w:val="20"/>
          <w:szCs w:val="20"/>
          <w:lang w:val="es-ES" w:eastAsia="es-CR"/>
        </w:rPr>
      </w:pPr>
    </w:p>
    <w:p w14:paraId="392BA20B" w14:textId="77777777" w:rsidR="009863E2" w:rsidRPr="0078029A" w:rsidRDefault="009863E2" w:rsidP="006A3DD9">
      <w:pPr>
        <w:spacing w:after="0" w:line="240" w:lineRule="auto"/>
        <w:rPr>
          <w:rFonts w:ascii="Georgia" w:eastAsia="Times New Roman" w:hAnsi="Georgia" w:cs="Times New Roman"/>
          <w:sz w:val="20"/>
          <w:szCs w:val="20"/>
          <w:lang w:val="es-ES" w:eastAsia="es-CR"/>
        </w:rPr>
      </w:pPr>
    </w:p>
    <w:p w14:paraId="511BC5C3" w14:textId="77777777" w:rsidR="00317597" w:rsidRPr="0078029A" w:rsidRDefault="00317597" w:rsidP="006A3DD9">
      <w:pPr>
        <w:spacing w:after="0" w:line="240" w:lineRule="auto"/>
        <w:rPr>
          <w:rFonts w:ascii="Georgia" w:eastAsia="Times New Roman" w:hAnsi="Georgia" w:cs="Times New Roman"/>
          <w:sz w:val="24"/>
          <w:szCs w:val="24"/>
          <w:lang w:val="es-ES" w:eastAsia="es-CR"/>
        </w:rPr>
      </w:pPr>
    </w:p>
    <w:p w14:paraId="7D30E10B" w14:textId="08BDDF8D" w:rsidR="009B4A82" w:rsidRPr="009863E2" w:rsidRDefault="009B4A82" w:rsidP="009863E2">
      <w:pPr>
        <w:pStyle w:val="Default"/>
        <w:numPr>
          <w:ilvl w:val="0"/>
          <w:numId w:val="3"/>
        </w:numPr>
        <w:jc w:val="both"/>
        <w:rPr>
          <w:rFonts w:ascii="Georgia" w:eastAsia="Times New Roman" w:hAnsi="Georgia" w:cs="Times New Roman"/>
          <w:b/>
          <w:bCs/>
          <w:lang w:val="es-ES" w:eastAsia="es-CR"/>
        </w:rPr>
      </w:pPr>
      <w:bookmarkStart w:id="0" w:name="_Hlk25941863"/>
      <w:r w:rsidRPr="009863E2">
        <w:rPr>
          <w:rFonts w:ascii="Georgia" w:eastAsia="Times New Roman" w:hAnsi="Georgia" w:cs="Times New Roman"/>
          <w:b/>
          <w:bCs/>
          <w:lang w:val="es-ES" w:eastAsia="es-CR"/>
        </w:rPr>
        <w:t>Tratamiento contable del diferencial cambiario</w:t>
      </w:r>
    </w:p>
    <w:bookmarkEnd w:id="0"/>
    <w:p w14:paraId="5BC4C810" w14:textId="77777777" w:rsidR="009B4A82" w:rsidRDefault="009B4A82" w:rsidP="00681188">
      <w:pPr>
        <w:pStyle w:val="Default"/>
        <w:jc w:val="both"/>
        <w:rPr>
          <w:rFonts w:ascii="Georgia" w:eastAsia="Times New Roman" w:hAnsi="Georgia" w:cs="Times New Roman"/>
          <w:lang w:val="es-ES" w:eastAsia="es-CR"/>
        </w:rPr>
      </w:pPr>
    </w:p>
    <w:p w14:paraId="0B7DFBB6" w14:textId="3AD458A0" w:rsidR="009B4A82" w:rsidRDefault="009B4A8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El diferencial cambiario es el efecto contable del registro por la conversión de partidas monetarias de una moneda de presentación a otra.</w:t>
      </w:r>
    </w:p>
    <w:p w14:paraId="5972254E" w14:textId="41A8697B" w:rsidR="009B4A82" w:rsidRDefault="009B4A82" w:rsidP="00681188">
      <w:pPr>
        <w:pStyle w:val="Default"/>
        <w:jc w:val="both"/>
        <w:rPr>
          <w:rFonts w:ascii="Georgia" w:eastAsia="Times New Roman" w:hAnsi="Georgia" w:cs="Times New Roman"/>
          <w:lang w:val="es-ES" w:eastAsia="es-CR"/>
        </w:rPr>
      </w:pPr>
    </w:p>
    <w:p w14:paraId="74E3656D" w14:textId="152D0A4A" w:rsidR="009B4A82" w:rsidRDefault="009B4A8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Una vez más debemos recordar que las normas contables aceptadas para la preparación de la información financiera son las Normas Internacionales de Información Financiera según el artículo 57 del Reglamento a  la Ley del Impuesto sobre la Renta (RLISR), y además establecer que esta norma no fue reformada según las modificaciones introducidas a la LISR por medio de la Ley 9635.</w:t>
      </w:r>
    </w:p>
    <w:p w14:paraId="7BF06D2E" w14:textId="519975AC" w:rsidR="009B4A82" w:rsidRDefault="009B4A82" w:rsidP="00681188">
      <w:pPr>
        <w:pStyle w:val="Default"/>
        <w:jc w:val="both"/>
        <w:rPr>
          <w:rFonts w:ascii="Georgia" w:eastAsia="Times New Roman" w:hAnsi="Georgia" w:cs="Times New Roman"/>
          <w:lang w:val="es-ES" w:eastAsia="es-CR"/>
        </w:rPr>
      </w:pPr>
    </w:p>
    <w:p w14:paraId="074419FC" w14:textId="1A6F1DEC" w:rsidR="009B4A82" w:rsidRDefault="009B4A8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De acuerdo con lo anterior tenemos que para el registro contable se deben seguir los preceptos de la Norma Internacional de Contabilidad 21 y es ahí donde encontr</w:t>
      </w:r>
      <w:r w:rsidR="00D82B5E">
        <w:rPr>
          <w:rFonts w:ascii="Georgia" w:eastAsia="Times New Roman" w:hAnsi="Georgia" w:cs="Times New Roman"/>
          <w:lang w:val="es-ES" w:eastAsia="es-CR"/>
        </w:rPr>
        <w:t>a</w:t>
      </w:r>
      <w:r>
        <w:rPr>
          <w:rFonts w:ascii="Georgia" w:eastAsia="Times New Roman" w:hAnsi="Georgia" w:cs="Times New Roman"/>
          <w:lang w:val="es-ES" w:eastAsia="es-CR"/>
        </w:rPr>
        <w:t>mos los diferentes lineamientos en definiciones, reconocimiento, medición y presentación de estas transacciones en los estados financieros.</w:t>
      </w:r>
    </w:p>
    <w:p w14:paraId="7D7D78CD" w14:textId="5190406A" w:rsidR="009B4A82" w:rsidRDefault="009B4A82" w:rsidP="00681188">
      <w:pPr>
        <w:pStyle w:val="Default"/>
        <w:jc w:val="both"/>
        <w:rPr>
          <w:rFonts w:ascii="Georgia" w:eastAsia="Times New Roman" w:hAnsi="Georgia" w:cs="Times New Roman"/>
          <w:lang w:val="es-ES" w:eastAsia="es-CR"/>
        </w:rPr>
      </w:pPr>
    </w:p>
    <w:p w14:paraId="26040ABC" w14:textId="370F5130" w:rsidR="009B4A82" w:rsidRDefault="009B4A8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Una actividad económica con negocio en marcha obteniendo flujos de efectivo y teni</w:t>
      </w:r>
      <w:r w:rsidR="00D82B5E">
        <w:rPr>
          <w:rFonts w:ascii="Georgia" w:eastAsia="Times New Roman" w:hAnsi="Georgia" w:cs="Times New Roman"/>
          <w:lang w:val="es-ES" w:eastAsia="es-CR"/>
        </w:rPr>
        <w:t>en</w:t>
      </w:r>
      <w:r>
        <w:rPr>
          <w:rFonts w:ascii="Georgia" w:eastAsia="Times New Roman" w:hAnsi="Georgia" w:cs="Times New Roman"/>
          <w:lang w:val="es-ES" w:eastAsia="es-CR"/>
        </w:rPr>
        <w:t>do como base el</w:t>
      </w:r>
      <w:r w:rsidR="00D82B5E">
        <w:rPr>
          <w:rFonts w:ascii="Georgia" w:eastAsia="Times New Roman" w:hAnsi="Georgia" w:cs="Times New Roman"/>
          <w:lang w:val="es-ES" w:eastAsia="es-CR"/>
        </w:rPr>
        <w:t xml:space="preserve"> sistema del</w:t>
      </w:r>
      <w:r>
        <w:rPr>
          <w:rFonts w:ascii="Georgia" w:eastAsia="Times New Roman" w:hAnsi="Georgia" w:cs="Times New Roman"/>
          <w:lang w:val="es-ES" w:eastAsia="es-CR"/>
        </w:rPr>
        <w:t xml:space="preserve"> devengado deberá entonces reconocer las diferencias de cambio por las partidas en moneda extranjera que registre. Estas pueden ser cuentas por cobrar, bancos, cuentas por pagar, ingresos y gastos.</w:t>
      </w:r>
    </w:p>
    <w:p w14:paraId="74A8BE01" w14:textId="088E10FF" w:rsidR="009B4A82" w:rsidRDefault="009B4A82" w:rsidP="00681188">
      <w:pPr>
        <w:pStyle w:val="Default"/>
        <w:jc w:val="both"/>
        <w:rPr>
          <w:rFonts w:ascii="Georgia" w:eastAsia="Times New Roman" w:hAnsi="Georgia" w:cs="Times New Roman"/>
          <w:lang w:val="es-ES" w:eastAsia="es-CR"/>
        </w:rPr>
      </w:pPr>
    </w:p>
    <w:p w14:paraId="4D2EB804" w14:textId="43C9C185" w:rsidR="009B4A82" w:rsidRDefault="009B4A8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La norma también prescribe sobre el concepto de moneda funcional, la que supone que la entidad debe registrar sus transacciones según la moneda en la que realiza la mayor parte de su actividad.</w:t>
      </w:r>
    </w:p>
    <w:p w14:paraId="2E11E741" w14:textId="7FE17D94" w:rsidR="009B4A82" w:rsidRDefault="009B4A82" w:rsidP="00681188">
      <w:pPr>
        <w:pStyle w:val="Default"/>
        <w:jc w:val="both"/>
        <w:rPr>
          <w:rFonts w:ascii="Georgia" w:eastAsia="Times New Roman" w:hAnsi="Georgia" w:cs="Times New Roman"/>
          <w:lang w:val="es-ES" w:eastAsia="es-CR"/>
        </w:rPr>
      </w:pPr>
    </w:p>
    <w:p w14:paraId="089B9639" w14:textId="6CC92702" w:rsidR="009B4A82" w:rsidRDefault="009B4A8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Teniendo que en Costa Rica para efectos tributarios y donde la moneda oficial es el colón, los estados financieros y sus respaldos deberán ser convertidos a colones si son registrados en una moneda diferente a esta.</w:t>
      </w:r>
    </w:p>
    <w:p w14:paraId="7BEA5B4E" w14:textId="68BDA89C" w:rsidR="009B4A82" w:rsidRDefault="009B4A82" w:rsidP="00681188">
      <w:pPr>
        <w:pStyle w:val="Default"/>
        <w:jc w:val="both"/>
        <w:rPr>
          <w:rFonts w:ascii="Georgia" w:eastAsia="Times New Roman" w:hAnsi="Georgia" w:cs="Times New Roman"/>
          <w:lang w:val="es-ES" w:eastAsia="es-CR"/>
        </w:rPr>
      </w:pPr>
    </w:p>
    <w:p w14:paraId="013D852E" w14:textId="77777777" w:rsidR="009863E2" w:rsidRDefault="009863E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lastRenderedPageBreak/>
        <w:t>Con relación a qué tipo de cambio utilizar, podríamos decir que según el principio de prudencia y con el fin de presentar y revelar información con bases conservadoras, el tipo de cambio para las partidas de activos e ingresos debería ser el de compra y para los pasivos y gastos el tipo de venta, proyectando así posibles gastos mayores que ingresos.</w:t>
      </w:r>
    </w:p>
    <w:p w14:paraId="797D0564" w14:textId="77777777" w:rsidR="009863E2" w:rsidRDefault="009863E2" w:rsidP="00681188">
      <w:pPr>
        <w:pStyle w:val="Default"/>
        <w:jc w:val="both"/>
        <w:rPr>
          <w:rFonts w:ascii="Georgia" w:eastAsia="Times New Roman" w:hAnsi="Georgia" w:cs="Times New Roman"/>
          <w:lang w:val="es-ES" w:eastAsia="es-CR"/>
        </w:rPr>
      </w:pPr>
    </w:p>
    <w:p w14:paraId="4EFA4A74" w14:textId="302AEAC3" w:rsidR="009B4A82" w:rsidRDefault="009863E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 </w:t>
      </w:r>
    </w:p>
    <w:p w14:paraId="09A3C1B9" w14:textId="06BEEA07" w:rsidR="009863E2" w:rsidRPr="009863E2" w:rsidRDefault="009863E2" w:rsidP="009863E2">
      <w:pPr>
        <w:pStyle w:val="Default"/>
        <w:numPr>
          <w:ilvl w:val="0"/>
          <w:numId w:val="3"/>
        </w:numPr>
        <w:jc w:val="both"/>
        <w:rPr>
          <w:rFonts w:ascii="Georgia" w:eastAsia="Times New Roman" w:hAnsi="Georgia" w:cs="Times New Roman"/>
          <w:b/>
          <w:bCs/>
          <w:lang w:val="es-ES" w:eastAsia="es-CR"/>
        </w:rPr>
      </w:pPr>
      <w:r w:rsidRPr="009863E2">
        <w:rPr>
          <w:rFonts w:ascii="Georgia" w:eastAsia="Times New Roman" w:hAnsi="Georgia" w:cs="Times New Roman"/>
          <w:b/>
          <w:bCs/>
          <w:lang w:val="es-ES" w:eastAsia="es-CR"/>
        </w:rPr>
        <w:t xml:space="preserve">Tratamiento </w:t>
      </w:r>
      <w:r>
        <w:rPr>
          <w:rFonts w:ascii="Georgia" w:eastAsia="Times New Roman" w:hAnsi="Georgia" w:cs="Times New Roman"/>
          <w:b/>
          <w:bCs/>
          <w:lang w:val="es-ES" w:eastAsia="es-CR"/>
        </w:rPr>
        <w:t>tributario</w:t>
      </w:r>
      <w:r w:rsidRPr="009863E2">
        <w:rPr>
          <w:rFonts w:ascii="Georgia" w:eastAsia="Times New Roman" w:hAnsi="Georgia" w:cs="Times New Roman"/>
          <w:b/>
          <w:bCs/>
          <w:lang w:val="es-ES" w:eastAsia="es-CR"/>
        </w:rPr>
        <w:t xml:space="preserve"> del diferencial cambiario</w:t>
      </w:r>
    </w:p>
    <w:p w14:paraId="363F70BA" w14:textId="6524B08F" w:rsidR="009B4A82" w:rsidRDefault="009B4A82" w:rsidP="00681188">
      <w:pPr>
        <w:pStyle w:val="Default"/>
        <w:jc w:val="both"/>
        <w:rPr>
          <w:rFonts w:ascii="Georgia" w:eastAsia="Times New Roman" w:hAnsi="Georgia" w:cs="Times New Roman"/>
          <w:lang w:val="es-ES" w:eastAsia="es-CR"/>
        </w:rPr>
      </w:pPr>
    </w:p>
    <w:p w14:paraId="4B96499F" w14:textId="4EA4FBB7" w:rsidR="009863E2" w:rsidRDefault="009863E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Si una entidad continúa con el régimen tributario de impuesto a utilidades, es decir, mantiene una actividad lucrativa, deberá entonces seguir con las reglas de este régimen determinando sus operaciones gravadas y deduciendo sus costos y gastos permitidos por ley para la determinación de su renta neta.</w:t>
      </w:r>
    </w:p>
    <w:p w14:paraId="2A596955" w14:textId="432AB127" w:rsidR="009863E2" w:rsidRDefault="009863E2" w:rsidP="00681188">
      <w:pPr>
        <w:pStyle w:val="Default"/>
        <w:jc w:val="both"/>
        <w:rPr>
          <w:rFonts w:ascii="Georgia" w:eastAsia="Times New Roman" w:hAnsi="Georgia" w:cs="Times New Roman"/>
          <w:lang w:val="es-ES" w:eastAsia="es-CR"/>
        </w:rPr>
      </w:pPr>
    </w:p>
    <w:p w14:paraId="57DB05C0" w14:textId="2FFFE8D0" w:rsidR="009863E2" w:rsidRDefault="009863E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Es importante recordar brevemente sobre la controversia alrededor de este régimen en el diferencial cambiario antes de la reforma a la LISR.</w:t>
      </w:r>
    </w:p>
    <w:p w14:paraId="0793471A" w14:textId="381B68FB" w:rsidR="009863E2" w:rsidRDefault="009863E2" w:rsidP="00681188">
      <w:pPr>
        <w:pStyle w:val="Default"/>
        <w:jc w:val="both"/>
        <w:rPr>
          <w:rFonts w:ascii="Georgia" w:eastAsia="Times New Roman" w:hAnsi="Georgia" w:cs="Times New Roman"/>
          <w:lang w:val="es-ES" w:eastAsia="es-CR"/>
        </w:rPr>
      </w:pPr>
    </w:p>
    <w:p w14:paraId="0E972DAE" w14:textId="21B5B6EC" w:rsidR="009863E2" w:rsidRDefault="009863E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Esta polémica podemos decir se centraba en que la Administración Tributaria (AT) consideraba un diferencial cambiario ingreso neto como gravable independientemente si era realizado o no realizado y de si provenía de activos o pasivos.</w:t>
      </w:r>
    </w:p>
    <w:p w14:paraId="533746A9" w14:textId="0A9EB3D0" w:rsidR="009863E2" w:rsidRDefault="009863E2" w:rsidP="00681188">
      <w:pPr>
        <w:pStyle w:val="Default"/>
        <w:jc w:val="both"/>
        <w:rPr>
          <w:rFonts w:ascii="Georgia" w:eastAsia="Times New Roman" w:hAnsi="Georgia" w:cs="Times New Roman"/>
          <w:lang w:val="es-ES" w:eastAsia="es-CR"/>
        </w:rPr>
      </w:pPr>
    </w:p>
    <w:p w14:paraId="39FEB7AE" w14:textId="7F28D112" w:rsidR="0038131C" w:rsidRDefault="009863E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Los vaivenes jurisprudenciales que mencionaré de forma sucinta en este art</w:t>
      </w:r>
      <w:r w:rsidR="00D82B5E">
        <w:rPr>
          <w:rFonts w:ascii="Georgia" w:eastAsia="Times New Roman" w:hAnsi="Georgia" w:cs="Times New Roman"/>
          <w:lang w:val="es-ES" w:eastAsia="es-CR"/>
        </w:rPr>
        <w:t>í</w:t>
      </w:r>
      <w:r>
        <w:rPr>
          <w:rFonts w:ascii="Georgia" w:eastAsia="Times New Roman" w:hAnsi="Georgia" w:cs="Times New Roman"/>
          <w:lang w:val="es-ES" w:eastAsia="es-CR"/>
        </w:rPr>
        <w:t xml:space="preserve">culo se pueden resumir </w:t>
      </w:r>
      <w:r w:rsidR="00D82B5E">
        <w:rPr>
          <w:rFonts w:ascii="Georgia" w:eastAsia="Times New Roman" w:hAnsi="Georgia" w:cs="Times New Roman"/>
          <w:lang w:val="es-ES" w:eastAsia="es-CR"/>
        </w:rPr>
        <w:t>como sigue</w:t>
      </w:r>
      <w:r>
        <w:rPr>
          <w:rFonts w:ascii="Georgia" w:eastAsia="Times New Roman" w:hAnsi="Georgia" w:cs="Times New Roman"/>
          <w:lang w:val="es-ES" w:eastAsia="es-CR"/>
        </w:rPr>
        <w:t xml:space="preserve">: </w:t>
      </w:r>
    </w:p>
    <w:p w14:paraId="696C0890" w14:textId="77777777" w:rsidR="0038131C" w:rsidRDefault="0038131C" w:rsidP="00681188">
      <w:pPr>
        <w:pStyle w:val="Default"/>
        <w:jc w:val="both"/>
        <w:rPr>
          <w:rFonts w:ascii="Georgia" w:eastAsia="Times New Roman" w:hAnsi="Georgia" w:cs="Times New Roman"/>
          <w:lang w:val="es-ES" w:eastAsia="es-CR"/>
        </w:rPr>
      </w:pPr>
    </w:p>
    <w:p w14:paraId="4315E748" w14:textId="325D4B95" w:rsidR="0038131C" w:rsidRDefault="0038131C" w:rsidP="0038131C">
      <w:pPr>
        <w:pStyle w:val="Default"/>
        <w:numPr>
          <w:ilvl w:val="0"/>
          <w:numId w:val="5"/>
        </w:numPr>
        <w:jc w:val="both"/>
        <w:rPr>
          <w:rFonts w:ascii="Georgia" w:eastAsia="Times New Roman" w:hAnsi="Georgia" w:cs="Times New Roman"/>
          <w:lang w:val="es-ES" w:eastAsia="es-CR"/>
        </w:rPr>
      </w:pPr>
      <w:r>
        <w:rPr>
          <w:rFonts w:ascii="Georgia" w:eastAsia="Times New Roman" w:hAnsi="Georgia" w:cs="Times New Roman"/>
          <w:lang w:val="es-ES" w:eastAsia="es-CR"/>
        </w:rPr>
        <w:t>Se defendieron casos alegando que, si el diferencial provenía de pasivos, este no era gravable ya que solamente se sujetaba el derivado del activo.</w:t>
      </w:r>
    </w:p>
    <w:p w14:paraId="1066F152" w14:textId="14C0D218" w:rsidR="0038131C" w:rsidRDefault="0038131C" w:rsidP="0038131C">
      <w:pPr>
        <w:pStyle w:val="Default"/>
        <w:numPr>
          <w:ilvl w:val="0"/>
          <w:numId w:val="5"/>
        </w:numPr>
        <w:jc w:val="both"/>
        <w:rPr>
          <w:rFonts w:ascii="Georgia" w:eastAsia="Times New Roman" w:hAnsi="Georgia" w:cs="Times New Roman"/>
          <w:lang w:val="es-ES" w:eastAsia="es-CR"/>
        </w:rPr>
      </w:pPr>
      <w:r>
        <w:rPr>
          <w:rFonts w:ascii="Georgia" w:eastAsia="Times New Roman" w:hAnsi="Georgia" w:cs="Times New Roman"/>
          <w:lang w:val="es-ES" w:eastAsia="es-CR"/>
        </w:rPr>
        <w:t>El diferencial cambiario es un tipo de ganancia de capital que asociado a un elemento fundamental de sujeción de la LISR</w:t>
      </w:r>
      <w:r w:rsidR="00D82B5E">
        <w:rPr>
          <w:rFonts w:ascii="Georgia" w:eastAsia="Times New Roman" w:hAnsi="Georgia" w:cs="Times New Roman"/>
          <w:lang w:val="es-ES" w:eastAsia="es-CR"/>
        </w:rPr>
        <w:t xml:space="preserve"> (ley anterior al 1 Julio 2019)</w:t>
      </w:r>
      <w:r>
        <w:rPr>
          <w:rFonts w:ascii="Georgia" w:eastAsia="Times New Roman" w:hAnsi="Georgia" w:cs="Times New Roman"/>
          <w:lang w:val="es-ES" w:eastAsia="es-CR"/>
        </w:rPr>
        <w:t xml:space="preserve"> que es la habitualidad y donde el contribuyente no explotaba sus activos y dirigía sus recursos a la obtención de este diferencial, su sujeción no existía.</w:t>
      </w:r>
    </w:p>
    <w:p w14:paraId="0564F40E" w14:textId="32F663FA" w:rsidR="009863E2" w:rsidRDefault="0038131C" w:rsidP="0038131C">
      <w:pPr>
        <w:pStyle w:val="Default"/>
        <w:numPr>
          <w:ilvl w:val="0"/>
          <w:numId w:val="5"/>
        </w:numPr>
        <w:jc w:val="both"/>
        <w:rPr>
          <w:rFonts w:ascii="Georgia" w:eastAsia="Times New Roman" w:hAnsi="Georgia" w:cs="Times New Roman"/>
          <w:lang w:val="es-ES" w:eastAsia="es-CR"/>
        </w:rPr>
      </w:pPr>
      <w:r>
        <w:rPr>
          <w:rFonts w:ascii="Georgia" w:eastAsia="Times New Roman" w:hAnsi="Georgia" w:cs="Times New Roman"/>
          <w:lang w:val="es-ES" w:eastAsia="es-CR"/>
        </w:rPr>
        <w:t>La DGT alegó como norma de sujeción el articulo 81 de la LISR, en la que se indica que el contribuyente debe convertir sus operaciones a la fecha de la transacción al tipo de cambio del día y las pendientes al cierre del periodo fiscal (30 setiembre) al tipo de cambio de cierre. En este caso se alegó que esta norma tiene como objetivo una instrucción formal de registro no material de sujeción que no se encuentra en el hecho generador del impuesto.</w:t>
      </w:r>
    </w:p>
    <w:p w14:paraId="31663860" w14:textId="1A2364C3" w:rsidR="0038131C" w:rsidRDefault="0038131C" w:rsidP="0038131C">
      <w:pPr>
        <w:pStyle w:val="Default"/>
        <w:numPr>
          <w:ilvl w:val="0"/>
          <w:numId w:val="5"/>
        </w:numPr>
        <w:jc w:val="both"/>
        <w:rPr>
          <w:rFonts w:ascii="Georgia" w:eastAsia="Times New Roman" w:hAnsi="Georgia" w:cs="Times New Roman"/>
          <w:lang w:val="es-ES" w:eastAsia="es-CR"/>
        </w:rPr>
      </w:pPr>
      <w:r>
        <w:rPr>
          <w:rFonts w:ascii="Georgia" w:eastAsia="Times New Roman" w:hAnsi="Georgia" w:cs="Times New Roman"/>
          <w:lang w:val="es-ES" w:eastAsia="es-CR"/>
        </w:rPr>
        <w:t>La Sala I en alguna jurisprudencia indicó puntualmente que para que un ingreso por diferencial cambiario fuera gravable debería provenir de transacciones habituales del contribuyente y superando esta primera condición solamente sería gravada la parte realizada; podemos decir entonces que si el diferencial cambiario no se consideraba habitual en impuesto a las utilidades es irrelevante determinar si es realizado o no.</w:t>
      </w:r>
    </w:p>
    <w:p w14:paraId="5ADD4509" w14:textId="0ED3F827" w:rsidR="00020038" w:rsidRDefault="00020038" w:rsidP="0038131C">
      <w:pPr>
        <w:pStyle w:val="Default"/>
        <w:numPr>
          <w:ilvl w:val="0"/>
          <w:numId w:val="5"/>
        </w:numPr>
        <w:jc w:val="both"/>
        <w:rPr>
          <w:rFonts w:ascii="Georgia" w:eastAsia="Times New Roman" w:hAnsi="Georgia" w:cs="Times New Roman"/>
          <w:lang w:val="es-ES" w:eastAsia="es-CR"/>
        </w:rPr>
      </w:pPr>
      <w:r>
        <w:rPr>
          <w:rFonts w:ascii="Georgia" w:eastAsia="Times New Roman" w:hAnsi="Georgia" w:cs="Times New Roman"/>
          <w:lang w:val="es-ES" w:eastAsia="es-CR"/>
        </w:rPr>
        <w:t>Otra sentencia de la Sala I dijo que el diferencial cambiario si provenía de la actividad habitual en un caso específico donde se facturaba en dólares, la conversión y diferencial de esa transacción se considera parte de la actividad del contribuyente por consiguiente gravable.</w:t>
      </w:r>
    </w:p>
    <w:p w14:paraId="53322BBF" w14:textId="46C52078" w:rsidR="0038131C" w:rsidRDefault="0038131C" w:rsidP="0038131C">
      <w:pPr>
        <w:pStyle w:val="Default"/>
        <w:jc w:val="both"/>
        <w:rPr>
          <w:rFonts w:ascii="Georgia" w:eastAsia="Times New Roman" w:hAnsi="Georgia" w:cs="Times New Roman"/>
          <w:lang w:val="es-ES" w:eastAsia="es-CR"/>
        </w:rPr>
      </w:pPr>
    </w:p>
    <w:p w14:paraId="137B6C85" w14:textId="094A1584" w:rsidR="0038131C" w:rsidRDefault="0038131C"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Ahora bien, siguiendo con el régimen de impuesto utilidades reformado encontramos los siguientes cambios concretos:</w:t>
      </w:r>
    </w:p>
    <w:p w14:paraId="4DA24DC1" w14:textId="2A3F80E0" w:rsidR="0038131C" w:rsidRDefault="0038131C" w:rsidP="0038131C">
      <w:pPr>
        <w:pStyle w:val="Default"/>
        <w:numPr>
          <w:ilvl w:val="0"/>
          <w:numId w:val="6"/>
        </w:numPr>
        <w:jc w:val="both"/>
        <w:rPr>
          <w:rFonts w:ascii="Georgia" w:eastAsia="Times New Roman" w:hAnsi="Georgia" w:cs="Times New Roman"/>
          <w:lang w:val="es-ES" w:eastAsia="es-CR"/>
        </w:rPr>
      </w:pPr>
      <w:r>
        <w:rPr>
          <w:rFonts w:ascii="Georgia" w:eastAsia="Times New Roman" w:hAnsi="Georgia" w:cs="Times New Roman"/>
          <w:lang w:val="es-ES" w:eastAsia="es-CR"/>
        </w:rPr>
        <w:t>El tipo de cambio a utilizar para efectos tributarios sería el de venta para todas las transacciones.</w:t>
      </w:r>
    </w:p>
    <w:p w14:paraId="613FE4C5" w14:textId="490D75C1" w:rsidR="0038131C" w:rsidRDefault="0038131C" w:rsidP="0038131C">
      <w:pPr>
        <w:pStyle w:val="Default"/>
        <w:numPr>
          <w:ilvl w:val="0"/>
          <w:numId w:val="6"/>
        </w:numPr>
        <w:jc w:val="both"/>
        <w:rPr>
          <w:rFonts w:ascii="Georgia" w:eastAsia="Times New Roman" w:hAnsi="Georgia" w:cs="Times New Roman"/>
          <w:lang w:val="es-ES" w:eastAsia="es-CR"/>
        </w:rPr>
      </w:pPr>
      <w:r>
        <w:rPr>
          <w:rFonts w:ascii="Georgia" w:eastAsia="Times New Roman" w:hAnsi="Georgia" w:cs="Times New Roman"/>
          <w:lang w:val="es-ES" w:eastAsia="es-CR"/>
        </w:rPr>
        <w:t>Se considera parte de las operaciones gravadas o deducibles el diferencial realizado o no realizado.</w:t>
      </w:r>
    </w:p>
    <w:p w14:paraId="246B4C80" w14:textId="23819D54" w:rsidR="0038131C" w:rsidRDefault="0038131C" w:rsidP="0038131C">
      <w:pPr>
        <w:pStyle w:val="Default"/>
        <w:jc w:val="both"/>
        <w:rPr>
          <w:rFonts w:ascii="Georgia" w:eastAsia="Times New Roman" w:hAnsi="Georgia" w:cs="Times New Roman"/>
          <w:lang w:val="es-ES" w:eastAsia="es-CR"/>
        </w:rPr>
      </w:pPr>
    </w:p>
    <w:p w14:paraId="6891A5FD" w14:textId="7D804AFD" w:rsidR="006B0E19" w:rsidRDefault="0038131C"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De lo anterior podemos decir </w:t>
      </w:r>
      <w:r w:rsidR="0024176D">
        <w:rPr>
          <w:rFonts w:ascii="Georgia" w:eastAsia="Times New Roman" w:hAnsi="Georgia" w:cs="Times New Roman"/>
          <w:lang w:val="es-ES" w:eastAsia="es-CR"/>
        </w:rPr>
        <w:t>que,</w:t>
      </w:r>
      <w:r w:rsidR="006B0E19">
        <w:rPr>
          <w:rFonts w:ascii="Georgia" w:eastAsia="Times New Roman" w:hAnsi="Georgia" w:cs="Times New Roman"/>
          <w:lang w:val="es-ES" w:eastAsia="es-CR"/>
        </w:rPr>
        <w:t xml:space="preserve"> si</w:t>
      </w:r>
      <w:r>
        <w:rPr>
          <w:rFonts w:ascii="Georgia" w:eastAsia="Times New Roman" w:hAnsi="Georgia" w:cs="Times New Roman"/>
          <w:lang w:val="es-ES" w:eastAsia="es-CR"/>
        </w:rPr>
        <w:t xml:space="preserve"> las entidades </w:t>
      </w:r>
      <w:r w:rsidR="006B0E19">
        <w:rPr>
          <w:rFonts w:ascii="Georgia" w:eastAsia="Times New Roman" w:hAnsi="Georgia" w:cs="Times New Roman"/>
          <w:lang w:val="es-ES" w:eastAsia="es-CR"/>
        </w:rPr>
        <w:t xml:space="preserve">siguen el tipo de cambio de venta para la conversión, podrían encontrarse ante un conflicto con la emisión de estados financieros con base en </w:t>
      </w:r>
      <w:proofErr w:type="spellStart"/>
      <w:r w:rsidR="006B0E19">
        <w:rPr>
          <w:rFonts w:ascii="Georgia" w:eastAsia="Times New Roman" w:hAnsi="Georgia" w:cs="Times New Roman"/>
          <w:lang w:val="es-ES" w:eastAsia="es-CR"/>
        </w:rPr>
        <w:t>NIIFs</w:t>
      </w:r>
      <w:proofErr w:type="spellEnd"/>
      <w:r w:rsidR="006B0E19">
        <w:rPr>
          <w:rFonts w:ascii="Georgia" w:eastAsia="Times New Roman" w:hAnsi="Georgia" w:cs="Times New Roman"/>
          <w:lang w:val="es-ES" w:eastAsia="es-CR"/>
        </w:rPr>
        <w:t xml:space="preserve"> si las diferencias de tipo de cambio producen información contable no acorde a una realidad económica de la entidad, la cual ha sido alterada por el régimen tributario y del cual no es obligatorio ajustarse según el artículo 51 de la LISR.</w:t>
      </w:r>
    </w:p>
    <w:p w14:paraId="3DC9C572" w14:textId="00A871DF" w:rsidR="0024176D" w:rsidRDefault="0024176D" w:rsidP="0038131C">
      <w:pPr>
        <w:pStyle w:val="Default"/>
        <w:jc w:val="both"/>
        <w:rPr>
          <w:rFonts w:ascii="Georgia" w:eastAsia="Times New Roman" w:hAnsi="Georgia" w:cs="Times New Roman"/>
          <w:lang w:val="es-ES" w:eastAsia="es-CR"/>
        </w:rPr>
      </w:pPr>
    </w:p>
    <w:p w14:paraId="5925281D" w14:textId="7497622D" w:rsidR="0024176D" w:rsidRDefault="0024176D"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Si la entidad no se apega en sus libros al tipo de cambio de venta y afecta sus operaciones con tipo de compra y venta según he explicado, entonces deberá hacer vía conciliación los ajustes para llevar las partidas a tipo de cambio a venta, situación que en la práctica puede ser difícil.</w:t>
      </w:r>
    </w:p>
    <w:p w14:paraId="32ABA596" w14:textId="27D28E58" w:rsidR="0024176D" w:rsidRDefault="0024176D" w:rsidP="0038131C">
      <w:pPr>
        <w:pStyle w:val="Default"/>
        <w:jc w:val="both"/>
        <w:rPr>
          <w:rFonts w:ascii="Georgia" w:eastAsia="Times New Roman" w:hAnsi="Georgia" w:cs="Times New Roman"/>
          <w:lang w:val="es-ES" w:eastAsia="es-CR"/>
        </w:rPr>
      </w:pPr>
    </w:p>
    <w:p w14:paraId="53AB83A2" w14:textId="105F6982" w:rsidR="0024176D" w:rsidRDefault="0024176D"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Para el régimen del Capitulo XI podemos encontrar que el diferencial cambiario solamente será considerado sujeto el que sea realizado, es decir no se toman en cuenta posibles revaluaciones de partidas monetarias pendientes.</w:t>
      </w:r>
    </w:p>
    <w:p w14:paraId="375F51E8" w14:textId="5ED5F52A" w:rsidR="0024176D" w:rsidRDefault="0024176D" w:rsidP="0038131C">
      <w:pPr>
        <w:pStyle w:val="Default"/>
        <w:jc w:val="both"/>
        <w:rPr>
          <w:rFonts w:ascii="Georgia" w:eastAsia="Times New Roman" w:hAnsi="Georgia" w:cs="Times New Roman"/>
          <w:lang w:val="es-ES" w:eastAsia="es-CR"/>
        </w:rPr>
      </w:pPr>
    </w:p>
    <w:p w14:paraId="512B3BD3" w14:textId="20537530" w:rsidR="0024176D" w:rsidRDefault="0024176D"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Sin </w:t>
      </w:r>
      <w:r w:rsidR="00020038">
        <w:rPr>
          <w:rFonts w:ascii="Georgia" w:eastAsia="Times New Roman" w:hAnsi="Georgia" w:cs="Times New Roman"/>
          <w:lang w:val="es-ES" w:eastAsia="es-CR"/>
        </w:rPr>
        <w:t>embargo,</w:t>
      </w:r>
      <w:r>
        <w:rPr>
          <w:rFonts w:ascii="Georgia" w:eastAsia="Times New Roman" w:hAnsi="Georgia" w:cs="Times New Roman"/>
          <w:lang w:val="es-ES" w:eastAsia="es-CR"/>
        </w:rPr>
        <w:t xml:space="preserve"> </w:t>
      </w:r>
      <w:bookmarkStart w:id="1" w:name="_GoBack"/>
      <w:bookmarkEnd w:id="1"/>
      <w:r>
        <w:rPr>
          <w:rFonts w:ascii="Georgia" w:eastAsia="Times New Roman" w:hAnsi="Georgia" w:cs="Times New Roman"/>
          <w:lang w:val="es-ES" w:eastAsia="es-CR"/>
        </w:rPr>
        <w:t xml:space="preserve">si la entidad requiere estados financieros </w:t>
      </w:r>
      <w:proofErr w:type="spellStart"/>
      <w:r>
        <w:rPr>
          <w:rFonts w:ascii="Georgia" w:eastAsia="Times New Roman" w:hAnsi="Georgia" w:cs="Times New Roman"/>
          <w:lang w:val="es-ES" w:eastAsia="es-CR"/>
        </w:rPr>
        <w:t>NIIFs</w:t>
      </w:r>
      <w:proofErr w:type="spellEnd"/>
      <w:r>
        <w:rPr>
          <w:rFonts w:ascii="Georgia" w:eastAsia="Times New Roman" w:hAnsi="Georgia" w:cs="Times New Roman"/>
          <w:lang w:val="es-ES" w:eastAsia="es-CR"/>
        </w:rPr>
        <w:t xml:space="preserve"> deberá seguir las reglas contable y cualquier ajuste deberá ser realizado vía conciliación.</w:t>
      </w:r>
    </w:p>
    <w:p w14:paraId="515BA6CB" w14:textId="77777777" w:rsidR="0024176D" w:rsidRDefault="0024176D" w:rsidP="0038131C">
      <w:pPr>
        <w:pStyle w:val="Default"/>
        <w:jc w:val="both"/>
        <w:rPr>
          <w:rFonts w:ascii="Georgia" w:eastAsia="Times New Roman" w:hAnsi="Georgia" w:cs="Times New Roman"/>
          <w:lang w:val="es-ES" w:eastAsia="es-CR"/>
        </w:rPr>
      </w:pPr>
    </w:p>
    <w:p w14:paraId="43336A5A" w14:textId="77777777" w:rsidR="006B0E19" w:rsidRDefault="006B0E19" w:rsidP="0038131C">
      <w:pPr>
        <w:pStyle w:val="Default"/>
        <w:jc w:val="both"/>
        <w:rPr>
          <w:rFonts w:ascii="Georgia" w:eastAsia="Times New Roman" w:hAnsi="Georgia" w:cs="Times New Roman"/>
          <w:lang w:val="es-ES" w:eastAsia="es-CR"/>
        </w:rPr>
      </w:pPr>
    </w:p>
    <w:p w14:paraId="3E7D6E44" w14:textId="3699BEA4" w:rsidR="0038131C" w:rsidRDefault="0038131C"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 </w:t>
      </w:r>
    </w:p>
    <w:sectPr w:rsidR="0038131C" w:rsidSect="00140B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25CD3"/>
    <w:multiLevelType w:val="hybridMultilevel"/>
    <w:tmpl w:val="88F0C1F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266228C"/>
    <w:multiLevelType w:val="hybridMultilevel"/>
    <w:tmpl w:val="48E03C90"/>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440235B1"/>
    <w:multiLevelType w:val="hybridMultilevel"/>
    <w:tmpl w:val="05FE6192"/>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6A4A722B"/>
    <w:multiLevelType w:val="hybridMultilevel"/>
    <w:tmpl w:val="899A4F7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76B95B67"/>
    <w:multiLevelType w:val="multilevel"/>
    <w:tmpl w:val="C3A87E70"/>
    <w:lvl w:ilvl="0">
      <w:start w:val="2"/>
      <w:numFmt w:val="decimal"/>
      <w:pStyle w:val="Subtitutlo2"/>
      <w:lvlText w:val="%1."/>
      <w:lvlJc w:val="left"/>
      <w:pPr>
        <w:ind w:left="720" w:hanging="360"/>
      </w:pPr>
      <w:rPr>
        <w:rFonts w:hint="default"/>
        <w:lang w:val="es-CR"/>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lang w:val="es-ES"/>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77346855"/>
    <w:multiLevelType w:val="hybridMultilevel"/>
    <w:tmpl w:val="63B0AB3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DD9"/>
    <w:rsid w:val="00020038"/>
    <w:rsid w:val="00031953"/>
    <w:rsid w:val="0009178A"/>
    <w:rsid w:val="000A72D1"/>
    <w:rsid w:val="000C7C42"/>
    <w:rsid w:val="00140B5C"/>
    <w:rsid w:val="001A11EB"/>
    <w:rsid w:val="001A686B"/>
    <w:rsid w:val="001E1C7F"/>
    <w:rsid w:val="001E55D9"/>
    <w:rsid w:val="00236B09"/>
    <w:rsid w:val="0024176D"/>
    <w:rsid w:val="00262FA1"/>
    <w:rsid w:val="002F547D"/>
    <w:rsid w:val="00317597"/>
    <w:rsid w:val="00361B76"/>
    <w:rsid w:val="0038131C"/>
    <w:rsid w:val="003A71DF"/>
    <w:rsid w:val="00404291"/>
    <w:rsid w:val="00496F07"/>
    <w:rsid w:val="0053299A"/>
    <w:rsid w:val="0054250E"/>
    <w:rsid w:val="005E2E42"/>
    <w:rsid w:val="00607EC1"/>
    <w:rsid w:val="00670360"/>
    <w:rsid w:val="00681188"/>
    <w:rsid w:val="00686CFE"/>
    <w:rsid w:val="006A3DD9"/>
    <w:rsid w:val="006B0E19"/>
    <w:rsid w:val="006E5633"/>
    <w:rsid w:val="006F318B"/>
    <w:rsid w:val="006F479C"/>
    <w:rsid w:val="00704224"/>
    <w:rsid w:val="00714091"/>
    <w:rsid w:val="0078029A"/>
    <w:rsid w:val="007A3DED"/>
    <w:rsid w:val="007D3000"/>
    <w:rsid w:val="007E456C"/>
    <w:rsid w:val="00823A8D"/>
    <w:rsid w:val="0085231E"/>
    <w:rsid w:val="008879FC"/>
    <w:rsid w:val="008C23EF"/>
    <w:rsid w:val="008E3FDB"/>
    <w:rsid w:val="00901083"/>
    <w:rsid w:val="0090612C"/>
    <w:rsid w:val="00942F9B"/>
    <w:rsid w:val="00963F92"/>
    <w:rsid w:val="009863E2"/>
    <w:rsid w:val="009B0A8D"/>
    <w:rsid w:val="009B4A82"/>
    <w:rsid w:val="00A30C65"/>
    <w:rsid w:val="00A327C6"/>
    <w:rsid w:val="00A54019"/>
    <w:rsid w:val="00A66648"/>
    <w:rsid w:val="00AB7BC2"/>
    <w:rsid w:val="00AC4DDC"/>
    <w:rsid w:val="00AF1A99"/>
    <w:rsid w:val="00B01C7B"/>
    <w:rsid w:val="00B171B9"/>
    <w:rsid w:val="00B672B7"/>
    <w:rsid w:val="00B70C42"/>
    <w:rsid w:val="00BB1525"/>
    <w:rsid w:val="00BE705E"/>
    <w:rsid w:val="00BF117B"/>
    <w:rsid w:val="00C044DC"/>
    <w:rsid w:val="00C168BE"/>
    <w:rsid w:val="00C25C70"/>
    <w:rsid w:val="00D47A06"/>
    <w:rsid w:val="00D82B5E"/>
    <w:rsid w:val="00DB5676"/>
    <w:rsid w:val="00DD63AD"/>
    <w:rsid w:val="00DF39CC"/>
    <w:rsid w:val="00E4161C"/>
    <w:rsid w:val="00E41672"/>
    <w:rsid w:val="00F55F70"/>
    <w:rsid w:val="00FE2F4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8218A"/>
  <w15:docId w15:val="{92E11BF4-57A3-480C-B610-5145CEB3E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B5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A3DD9"/>
    <w:rPr>
      <w:color w:val="0000FF"/>
      <w:u w:val="single"/>
    </w:rPr>
  </w:style>
  <w:style w:type="paragraph" w:styleId="Encabezado">
    <w:name w:val="header"/>
    <w:basedOn w:val="Normal"/>
    <w:link w:val="EncabezadoCar"/>
    <w:uiPriority w:val="99"/>
    <w:semiHidden/>
    <w:unhideWhenUsed/>
    <w:rsid w:val="006A3DD9"/>
    <w:pPr>
      <w:tabs>
        <w:tab w:val="center" w:pos="4320"/>
        <w:tab w:val="right" w:pos="8640"/>
      </w:tabs>
      <w:spacing w:after="0" w:line="240" w:lineRule="auto"/>
      <w:jc w:val="both"/>
    </w:pPr>
    <w:rPr>
      <w:rFonts w:ascii="Times New Roman" w:eastAsia="Times New Roman" w:hAnsi="Times New Roman" w:cs="Times New Roman"/>
      <w:sz w:val="24"/>
      <w:szCs w:val="20"/>
      <w:lang w:eastAsia="es-MX"/>
    </w:rPr>
  </w:style>
  <w:style w:type="character" w:customStyle="1" w:styleId="EncabezadoCar">
    <w:name w:val="Encabezado Car"/>
    <w:basedOn w:val="Fuentedeprrafopredeter"/>
    <w:link w:val="Encabezado"/>
    <w:uiPriority w:val="99"/>
    <w:semiHidden/>
    <w:rsid w:val="006A3DD9"/>
    <w:rPr>
      <w:rFonts w:ascii="Times New Roman" w:eastAsia="Times New Roman" w:hAnsi="Times New Roman" w:cs="Times New Roman"/>
      <w:sz w:val="24"/>
      <w:szCs w:val="20"/>
      <w:lang w:eastAsia="es-MX"/>
    </w:rPr>
  </w:style>
  <w:style w:type="paragraph" w:styleId="Prrafodelista">
    <w:name w:val="List Paragraph"/>
    <w:basedOn w:val="Normal"/>
    <w:uiPriority w:val="34"/>
    <w:qFormat/>
    <w:rsid w:val="00262FA1"/>
    <w:pPr>
      <w:ind w:left="720"/>
      <w:contextualSpacing/>
    </w:pPr>
  </w:style>
  <w:style w:type="paragraph" w:customStyle="1" w:styleId="Subtitutlo2">
    <w:name w:val="Subtitutlo2"/>
    <w:basedOn w:val="Prrafodelista"/>
    <w:link w:val="Subtitutlo2Car"/>
    <w:qFormat/>
    <w:rsid w:val="00262FA1"/>
    <w:pPr>
      <w:numPr>
        <w:numId w:val="2"/>
      </w:numPr>
      <w:spacing w:after="0"/>
    </w:pPr>
    <w:rPr>
      <w:rFonts w:ascii="Calibri" w:eastAsia="Calibri" w:hAnsi="Calibri" w:cs="Courier New"/>
      <w:b/>
      <w:color w:val="000000"/>
      <w:sz w:val="24"/>
      <w:szCs w:val="24"/>
    </w:rPr>
  </w:style>
  <w:style w:type="character" w:customStyle="1" w:styleId="Subtitutlo2Car">
    <w:name w:val="Subtitutlo2 Car"/>
    <w:basedOn w:val="Fuentedeprrafopredeter"/>
    <w:link w:val="Subtitutlo2"/>
    <w:rsid w:val="00262FA1"/>
    <w:rPr>
      <w:rFonts w:ascii="Calibri" w:eastAsia="Calibri" w:hAnsi="Calibri" w:cs="Courier New"/>
      <w:b/>
      <w:color w:val="000000"/>
      <w:sz w:val="24"/>
      <w:szCs w:val="24"/>
    </w:rPr>
  </w:style>
  <w:style w:type="paragraph" w:customStyle="1" w:styleId="Default">
    <w:name w:val="Default"/>
    <w:rsid w:val="00262FA1"/>
    <w:pPr>
      <w:autoSpaceDE w:val="0"/>
      <w:autoSpaceDN w:val="0"/>
      <w:adjustRightInd w:val="0"/>
      <w:spacing w:after="0" w:line="240" w:lineRule="auto"/>
    </w:pPr>
    <w:rPr>
      <w:rFonts w:ascii="Verdana" w:hAnsi="Verdana" w:cs="Verdana"/>
      <w:color w:val="000000"/>
      <w:sz w:val="24"/>
      <w:szCs w:val="24"/>
    </w:rPr>
  </w:style>
  <w:style w:type="paragraph" w:customStyle="1" w:styleId="Noparagraphstyle">
    <w:name w:val="[No paragraph style]"/>
    <w:rsid w:val="00262FA1"/>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091598">
      <w:bodyDiv w:val="1"/>
      <w:marLeft w:val="0"/>
      <w:marRight w:val="0"/>
      <w:marTop w:val="0"/>
      <w:marBottom w:val="0"/>
      <w:divBdr>
        <w:top w:val="none" w:sz="0" w:space="0" w:color="auto"/>
        <w:left w:val="none" w:sz="0" w:space="0" w:color="auto"/>
        <w:bottom w:val="none" w:sz="0" w:space="0" w:color="auto"/>
        <w:right w:val="none" w:sz="0" w:space="0" w:color="auto"/>
      </w:divBdr>
    </w:div>
    <w:div w:id="156259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941</Words>
  <Characters>5180</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lanzoategui</dc:creator>
  <cp:lastModifiedBy>Erik Ramirez</cp:lastModifiedBy>
  <cp:revision>5</cp:revision>
  <cp:lastPrinted>2012-01-24T22:03:00Z</cp:lastPrinted>
  <dcterms:created xsi:type="dcterms:W3CDTF">2019-11-29T23:31:00Z</dcterms:created>
  <dcterms:modified xsi:type="dcterms:W3CDTF">2019-12-06T16:24:00Z</dcterms:modified>
</cp:coreProperties>
</file>