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38"/>
        <w:tblW w:w="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445"/>
      </w:tblGrid>
      <w:tr w:rsidR="006A3DD9" w:rsidRPr="0078029A" w:rsidTr="006A3DD9">
        <w:trPr>
          <w:trHeight w:val="3035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D9" w:rsidRPr="0078029A" w:rsidRDefault="006A3DD9" w:rsidP="006A3DD9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808080"/>
                <w:sz w:val="72"/>
                <w:szCs w:val="24"/>
                <w:lang w:eastAsia="es-CR"/>
              </w:rPr>
            </w:pPr>
            <w:r w:rsidRPr="0078029A">
              <w:rPr>
                <w:rFonts w:ascii="Georgia" w:eastAsia="Times New Roman" w:hAnsi="Georgia" w:cs="Tahoma"/>
                <w:color w:val="FFFFFF"/>
                <w:sz w:val="72"/>
                <w:szCs w:val="24"/>
                <w:shd w:val="clear" w:color="auto" w:fill="000080"/>
                <w:lang w:eastAsia="es-CR"/>
              </w:rPr>
              <w:t>D</w:t>
            </w:r>
            <w:r w:rsidRPr="0078029A">
              <w:rPr>
                <w:rFonts w:ascii="Georgia" w:eastAsia="Times New Roman" w:hAnsi="Georgia" w:cs="Arial"/>
                <w:b/>
                <w:bCs/>
                <w:color w:val="808080"/>
                <w:sz w:val="72"/>
                <w:szCs w:val="24"/>
                <w:lang w:eastAsia="es-CR"/>
              </w:rPr>
              <w:t>octrina</w:t>
            </w:r>
            <w:r w:rsidRPr="0078029A">
              <w:rPr>
                <w:rFonts w:ascii="Georgia" w:eastAsia="Times New Roman" w:hAnsi="Georgia" w:cs="Arial"/>
                <w:color w:val="808080"/>
                <w:sz w:val="72"/>
                <w:szCs w:val="24"/>
                <w:lang w:eastAsia="es-CR"/>
              </w:rPr>
              <w:t>:</w:t>
            </w:r>
          </w:p>
          <w:p w:rsidR="006A3DD9" w:rsidRPr="0078029A" w:rsidRDefault="00A52045" w:rsidP="006A3DD9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val="es-MX" w:eastAsia="es-CR"/>
              </w:rPr>
            </w:pPr>
            <w:r>
              <w:rPr>
                <w:rFonts w:ascii="Georgia" w:eastAsia="Times New Roman" w:hAnsi="Georgia" w:cs="Times New Roman"/>
                <w:b/>
                <w:sz w:val="28"/>
                <w:szCs w:val="28"/>
                <w:lang w:val="es-MX" w:eastAsia="es-CR"/>
              </w:rPr>
              <w:t>Cálculo base renta disponible con ganancias de capital</w:t>
            </w:r>
          </w:p>
          <w:p w:rsidR="006A3DD9" w:rsidRPr="0078029A" w:rsidRDefault="006A3DD9" w:rsidP="006A3DD9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sz w:val="20"/>
                <w:szCs w:val="20"/>
                <w:lang w:eastAsia="es-CR"/>
              </w:rPr>
            </w:pPr>
          </w:p>
          <w:p w:rsidR="006A3DD9" w:rsidRPr="0078029A" w:rsidRDefault="006A3DD9" w:rsidP="006A3DD9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lang w:eastAsia="es-CR"/>
              </w:rPr>
            </w:pPr>
            <w:r w:rsidRPr="0078029A">
              <w:rPr>
                <w:rFonts w:ascii="Georgia" w:eastAsia="Times New Roman" w:hAnsi="Georgia" w:cs="Times New Roman"/>
                <w:b/>
                <w:lang w:eastAsia="es-CR"/>
              </w:rPr>
              <w:t xml:space="preserve">Por </w:t>
            </w:r>
            <w:r w:rsidR="00C044DC" w:rsidRPr="0078029A">
              <w:rPr>
                <w:rFonts w:ascii="Georgia" w:eastAsia="Times New Roman" w:hAnsi="Georgia" w:cs="Times New Roman"/>
                <w:b/>
                <w:lang w:eastAsia="es-CR"/>
              </w:rPr>
              <w:t>Erik Ramírez, CPA, MAF, MFI</w:t>
            </w:r>
          </w:p>
          <w:p w:rsidR="00C044DC" w:rsidRPr="0078029A" w:rsidRDefault="00C044DC" w:rsidP="006A3DD9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lang w:val="es-MX" w:eastAsia="es-CR"/>
              </w:rPr>
            </w:pPr>
            <w:r w:rsidRPr="0078029A">
              <w:rPr>
                <w:rFonts w:ascii="Georgia" w:eastAsia="Times New Roman" w:hAnsi="Georgia" w:cs="Times New Roman"/>
                <w:b/>
                <w:lang w:val="es-MX" w:eastAsia="es-CR"/>
              </w:rPr>
              <w:t xml:space="preserve">Erik, es gerente de impuestos en </w:t>
            </w:r>
            <w:proofErr w:type="spellStart"/>
            <w:r w:rsidRPr="0078029A">
              <w:rPr>
                <w:rFonts w:ascii="Georgia" w:eastAsia="Times New Roman" w:hAnsi="Georgia" w:cs="Times New Roman"/>
                <w:b/>
                <w:lang w:val="es-MX" w:eastAsia="es-CR"/>
              </w:rPr>
              <w:t>Faycatax</w:t>
            </w:r>
            <w:proofErr w:type="spellEnd"/>
            <w:r w:rsidRPr="0078029A">
              <w:rPr>
                <w:rFonts w:ascii="Georgia" w:eastAsia="Times New Roman" w:hAnsi="Georgia" w:cs="Times New Roman"/>
                <w:b/>
                <w:lang w:val="es-MX" w:eastAsia="es-CR"/>
              </w:rPr>
              <w:t xml:space="preserve">, la división de impuestos del Bufete Facio &amp; Cañas en Costa </w:t>
            </w:r>
            <w:r w:rsidR="006F479C">
              <w:rPr>
                <w:rFonts w:ascii="Georgia" w:eastAsia="Times New Roman" w:hAnsi="Georgia" w:cs="Times New Roman"/>
                <w:b/>
                <w:lang w:val="es-MX" w:eastAsia="es-CR"/>
              </w:rPr>
              <w:t>R</w:t>
            </w:r>
            <w:r w:rsidRPr="0078029A">
              <w:rPr>
                <w:rFonts w:ascii="Georgia" w:eastAsia="Times New Roman" w:hAnsi="Georgia" w:cs="Times New Roman"/>
                <w:b/>
                <w:lang w:val="es-MX" w:eastAsia="es-CR"/>
              </w:rPr>
              <w:t>ica</w:t>
            </w:r>
          </w:p>
          <w:p w:rsidR="006A3DD9" w:rsidRPr="0078029A" w:rsidRDefault="006A3DD9" w:rsidP="00C044DC">
            <w:pPr>
              <w:spacing w:after="120" w:line="240" w:lineRule="auto"/>
              <w:rPr>
                <w:rFonts w:ascii="Georgia" w:eastAsia="Times New Roman" w:hAnsi="Georgia" w:cs="Times New Roman"/>
                <w:sz w:val="20"/>
                <w:szCs w:val="20"/>
                <w:lang w:eastAsia="es-CR"/>
              </w:rPr>
            </w:pPr>
          </w:p>
        </w:tc>
      </w:tr>
    </w:tbl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6A3DD9" w:rsidRPr="0078029A" w:rsidRDefault="006A3DD9" w:rsidP="006A3DD9">
      <w:pPr>
        <w:spacing w:after="0" w:line="240" w:lineRule="auto"/>
        <w:rPr>
          <w:rFonts w:ascii="Georgia" w:eastAsia="Times New Roman" w:hAnsi="Georgia" w:cs="Times New Roman"/>
          <w:sz w:val="20"/>
          <w:szCs w:val="20"/>
          <w:lang w:val="es-ES" w:eastAsia="es-CR"/>
        </w:rPr>
      </w:pP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A52045">
        <w:rPr>
          <w:rFonts w:ascii="Century Gothic" w:hAnsi="Century Gothic"/>
          <w:b/>
          <w:bCs/>
          <w:sz w:val="24"/>
          <w:szCs w:val="24"/>
        </w:rPr>
        <w:t>Ganancias de capital de activos fijos.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A52045">
        <w:rPr>
          <w:rFonts w:ascii="Century Gothic" w:hAnsi="Century Gothic"/>
          <w:b/>
          <w:bCs/>
          <w:sz w:val="24"/>
          <w:szCs w:val="24"/>
        </w:rPr>
        <w:t>Aspecto material, análisis breve: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 xml:space="preserve">Las ganancias de capital no son gravables en Costa Rica, con excepción de dos casos; el primero conectado a que las ganancias obtenidas de bienes de capital por ejemplo inmuebles -terrenos o edificios- sean en un contexto de habitualidad, entonces estos ingresos serían considerados renta ordinaria sujetas en su totalidad al impuesto a las utilidades. 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El segundo caso serían las ganancias de capital de activos depreciables afectos a una actividad lucrativa sujeta del impuesto a las utilidades según el artículo 8 de la LISR, por ejemplo si tenemos terrenos y edificios, la ganancia imputable al edificio es la que sería gravable en el impuesto a las utilidades; podría darse un problema de asignación si los terrenos y edificios se venden en conjunto con un solo precio de venta, luego podemos volver con este aspecto con el fin de identificar razonablemente las ganancias sujetas.</w:t>
      </w:r>
    </w:p>
    <w:p w:rsid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A52045">
        <w:rPr>
          <w:rFonts w:ascii="Century Gothic" w:hAnsi="Century Gothic"/>
          <w:b/>
          <w:bCs/>
          <w:sz w:val="24"/>
          <w:szCs w:val="24"/>
        </w:rPr>
        <w:lastRenderedPageBreak/>
        <w:t>Aspecto formal: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proofErr w:type="gramStart"/>
      <w:r w:rsidRPr="00A52045">
        <w:rPr>
          <w:rFonts w:ascii="Century Gothic" w:hAnsi="Century Gothic"/>
          <w:sz w:val="24"/>
          <w:szCs w:val="24"/>
        </w:rPr>
        <w:t>Los documentos soporte</w:t>
      </w:r>
      <w:proofErr w:type="gramEnd"/>
      <w:r w:rsidRPr="00A52045">
        <w:rPr>
          <w:rFonts w:ascii="Century Gothic" w:hAnsi="Century Gothic"/>
          <w:sz w:val="24"/>
          <w:szCs w:val="24"/>
        </w:rPr>
        <w:t xml:space="preserve"> para mostrar en una fiscalización serían, los registros contables de la propiedad, sus facturas originales en el caso de construcción de los edificios y su escritura de traspaso tanto en la adquisición inicial como en la venta actual.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Las ganancias sujetas al impuesto a las utilidades según he comentado anteriormente, serán parte de la renta bruta del contribuyente y declaradas como tal en la declaración de renta.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Las ganancias no sujetas serán declaradas como no gravables en la casilla correspondiente.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Desde el punto de vista contable, estas ganancias de capital serían reveladas como otros ingresos no operativos y formarán parte en su totalidad de la utilidad contable NIIF al final del período contable.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A52045">
        <w:rPr>
          <w:rFonts w:ascii="Century Gothic" w:hAnsi="Century Gothic"/>
          <w:b/>
          <w:bCs/>
          <w:sz w:val="24"/>
          <w:szCs w:val="24"/>
        </w:rPr>
        <w:t>Cálculo: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Según la norma de impuesto a los dividendos, tenemos que esta se determina de la siguiente forma: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>Utilidad fiscal (previa conciliación según el artículo 57 del RLISR) menos impuesto a las utilidades, el resultado de esta operación se le deberán agregar ingresos exentos que fueron sujetos a otros impuestos cedulares de la LISR, por ejemplo, intereses que son los rendimientos de títulos valores según la norma de imposición del mercado financiero.</w:t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A52045">
        <w:rPr>
          <w:rFonts w:ascii="Century Gothic" w:hAnsi="Century Gothic"/>
          <w:sz w:val="24"/>
          <w:szCs w:val="24"/>
        </w:rPr>
        <w:t xml:space="preserve">Al resultado de sumar los ingresos exentos, se le considera la base imponible del impuesto de renta disponible, entonces, como hemos visto, si la </w:t>
      </w:r>
      <w:r w:rsidRPr="00A52045">
        <w:rPr>
          <w:rFonts w:ascii="Century Gothic" w:hAnsi="Century Gothic"/>
          <w:sz w:val="24"/>
          <w:szCs w:val="24"/>
        </w:rPr>
        <w:lastRenderedPageBreak/>
        <w:t>ganancia del terreno que es la cantidad no gravable ya fue eliminada en la utilidad fiscal, la base que se determine y se distribuya es la que deberá pagar una retención delo 15% siempre y cuando este dividendo sea pagado a personas físicas o entidades diferentes de las sociedades de capital: anónimas, SRL o en comandita por acciones, estas últimas están exentas.</w:t>
      </w:r>
    </w:p>
    <w:p w:rsid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 continuación, un ejemplo numérico de lo expuesto:</w:t>
      </w:r>
    </w:p>
    <w:p w:rsid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A52045" w:rsidRDefault="00A52045" w:rsidP="00A52045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A52045">
        <w:drawing>
          <wp:inline distT="0" distB="0" distL="0" distR="0">
            <wp:extent cx="4524375" cy="2419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045" w:rsidRDefault="00A52045" w:rsidP="00A52045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 w:rsidRPr="00A52045">
        <w:lastRenderedPageBreak/>
        <w:drawing>
          <wp:inline distT="0" distB="0" distL="0" distR="0">
            <wp:extent cx="4524375" cy="43910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045" w:rsidRPr="00A52045" w:rsidRDefault="00A52045" w:rsidP="00A52045">
      <w:pPr>
        <w:spacing w:line="360" w:lineRule="auto"/>
        <w:jc w:val="both"/>
        <w:rPr>
          <w:rFonts w:ascii="Century Gothic" w:hAnsi="Century Gothic"/>
          <w:sz w:val="24"/>
          <w:szCs w:val="24"/>
          <w:lang w:val="es-ES"/>
        </w:rPr>
      </w:pPr>
      <w:r w:rsidRPr="00A52045">
        <w:drawing>
          <wp:inline distT="0" distB="0" distL="0" distR="0">
            <wp:extent cx="5838825" cy="7048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971" cy="70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56C" w:rsidRPr="00A52045" w:rsidRDefault="007E456C" w:rsidP="00A52045">
      <w:pPr>
        <w:pStyle w:val="Default"/>
        <w:spacing w:line="360" w:lineRule="auto"/>
        <w:jc w:val="both"/>
        <w:rPr>
          <w:rFonts w:eastAsia="Times New Roman" w:cs="Times New Roman"/>
          <w:lang w:eastAsia="es-CR"/>
        </w:rPr>
      </w:pPr>
    </w:p>
    <w:p w:rsidR="00C25C70" w:rsidRPr="00A52045" w:rsidRDefault="00C25C70" w:rsidP="00A52045">
      <w:pPr>
        <w:pStyle w:val="Default"/>
        <w:spacing w:line="360" w:lineRule="auto"/>
        <w:jc w:val="both"/>
        <w:rPr>
          <w:rFonts w:eastAsia="Times New Roman" w:cs="Times New Roman"/>
          <w:lang w:eastAsia="es-CR"/>
        </w:rPr>
      </w:pPr>
    </w:p>
    <w:sectPr w:rsidR="00C25C70" w:rsidRPr="00A52045" w:rsidSect="00140B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235B1"/>
    <w:multiLevelType w:val="hybridMultilevel"/>
    <w:tmpl w:val="05FE6192"/>
    <w:lvl w:ilvl="0" w:tplc="1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95B67"/>
    <w:multiLevelType w:val="multilevel"/>
    <w:tmpl w:val="C3A87E70"/>
    <w:lvl w:ilvl="0">
      <w:start w:val="2"/>
      <w:numFmt w:val="decimal"/>
      <w:pStyle w:val="Subtitutlo2"/>
      <w:lvlText w:val="%1."/>
      <w:lvlJc w:val="left"/>
      <w:pPr>
        <w:ind w:left="720" w:hanging="360"/>
      </w:pPr>
      <w:rPr>
        <w:rFonts w:hint="default"/>
        <w:lang w:val="es-CR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lang w:val="es-ES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DD9"/>
    <w:rsid w:val="0009178A"/>
    <w:rsid w:val="000A72D1"/>
    <w:rsid w:val="000C7C42"/>
    <w:rsid w:val="00140B5C"/>
    <w:rsid w:val="001A11EB"/>
    <w:rsid w:val="001A686B"/>
    <w:rsid w:val="001E1C7F"/>
    <w:rsid w:val="001E55D9"/>
    <w:rsid w:val="00236B09"/>
    <w:rsid w:val="00262FA1"/>
    <w:rsid w:val="002E2CEE"/>
    <w:rsid w:val="002F547D"/>
    <w:rsid w:val="00317597"/>
    <w:rsid w:val="00361B76"/>
    <w:rsid w:val="003A71DF"/>
    <w:rsid w:val="00404291"/>
    <w:rsid w:val="00496F07"/>
    <w:rsid w:val="0053299A"/>
    <w:rsid w:val="0054250E"/>
    <w:rsid w:val="005E2E42"/>
    <w:rsid w:val="00607EC1"/>
    <w:rsid w:val="00670360"/>
    <w:rsid w:val="00681188"/>
    <w:rsid w:val="00686CFE"/>
    <w:rsid w:val="006A3DD9"/>
    <w:rsid w:val="006E5633"/>
    <w:rsid w:val="006F318B"/>
    <w:rsid w:val="006F479C"/>
    <w:rsid w:val="00704224"/>
    <w:rsid w:val="00714091"/>
    <w:rsid w:val="0078029A"/>
    <w:rsid w:val="007A3DED"/>
    <w:rsid w:val="007D3000"/>
    <w:rsid w:val="007E456C"/>
    <w:rsid w:val="00823A8D"/>
    <w:rsid w:val="0085231E"/>
    <w:rsid w:val="008879FC"/>
    <w:rsid w:val="008C23EF"/>
    <w:rsid w:val="008E3FDB"/>
    <w:rsid w:val="00901083"/>
    <w:rsid w:val="0090612C"/>
    <w:rsid w:val="00942F9B"/>
    <w:rsid w:val="00963F92"/>
    <w:rsid w:val="009B0A8D"/>
    <w:rsid w:val="00A30C65"/>
    <w:rsid w:val="00A327C6"/>
    <w:rsid w:val="00A52045"/>
    <w:rsid w:val="00A54019"/>
    <w:rsid w:val="00A66648"/>
    <w:rsid w:val="00AB7BC2"/>
    <w:rsid w:val="00AC4DDC"/>
    <w:rsid w:val="00AF1A99"/>
    <w:rsid w:val="00B01C7B"/>
    <w:rsid w:val="00B171B9"/>
    <w:rsid w:val="00B672B7"/>
    <w:rsid w:val="00B70C42"/>
    <w:rsid w:val="00BB1525"/>
    <w:rsid w:val="00BE705E"/>
    <w:rsid w:val="00BF117B"/>
    <w:rsid w:val="00C044DC"/>
    <w:rsid w:val="00C168BE"/>
    <w:rsid w:val="00C25C70"/>
    <w:rsid w:val="00D47A06"/>
    <w:rsid w:val="00DB5676"/>
    <w:rsid w:val="00DD63AD"/>
    <w:rsid w:val="00DF39CC"/>
    <w:rsid w:val="00E4161C"/>
    <w:rsid w:val="00E41672"/>
    <w:rsid w:val="00F55F70"/>
    <w:rsid w:val="00FE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E70E"/>
  <w15:docId w15:val="{92E11BF4-57A3-480C-B610-5145CEB3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0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3DD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6A3DD9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A3DD9"/>
    <w:rPr>
      <w:rFonts w:ascii="Times New Roman" w:eastAsia="Times New Roman" w:hAnsi="Times New Roman" w:cs="Times New Roman"/>
      <w:sz w:val="24"/>
      <w:szCs w:val="20"/>
      <w:lang w:eastAsia="es-MX"/>
    </w:rPr>
  </w:style>
  <w:style w:type="paragraph" w:styleId="Prrafodelista">
    <w:name w:val="List Paragraph"/>
    <w:basedOn w:val="Normal"/>
    <w:uiPriority w:val="34"/>
    <w:qFormat/>
    <w:rsid w:val="00262FA1"/>
    <w:pPr>
      <w:ind w:left="720"/>
      <w:contextualSpacing/>
    </w:pPr>
  </w:style>
  <w:style w:type="paragraph" w:customStyle="1" w:styleId="Subtitutlo2">
    <w:name w:val="Subtitutlo2"/>
    <w:basedOn w:val="Prrafodelista"/>
    <w:link w:val="Subtitutlo2Car"/>
    <w:qFormat/>
    <w:rsid w:val="00262FA1"/>
    <w:pPr>
      <w:numPr>
        <w:numId w:val="2"/>
      </w:numPr>
      <w:spacing w:after="0"/>
    </w:pPr>
    <w:rPr>
      <w:rFonts w:ascii="Calibri" w:eastAsia="Calibri" w:hAnsi="Calibri" w:cs="Courier New"/>
      <w:b/>
      <w:color w:val="000000"/>
      <w:sz w:val="24"/>
      <w:szCs w:val="24"/>
    </w:rPr>
  </w:style>
  <w:style w:type="character" w:customStyle="1" w:styleId="Subtitutlo2Car">
    <w:name w:val="Subtitutlo2 Car"/>
    <w:basedOn w:val="Fuentedeprrafopredeter"/>
    <w:link w:val="Subtitutlo2"/>
    <w:rsid w:val="00262FA1"/>
    <w:rPr>
      <w:rFonts w:ascii="Calibri" w:eastAsia="Calibri" w:hAnsi="Calibri" w:cs="Courier New"/>
      <w:b/>
      <w:color w:val="000000"/>
      <w:sz w:val="24"/>
      <w:szCs w:val="24"/>
    </w:rPr>
  </w:style>
  <w:style w:type="paragraph" w:customStyle="1" w:styleId="Default">
    <w:name w:val="Default"/>
    <w:rsid w:val="00262FA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paragraphstyle">
    <w:name w:val="[No paragraph style]"/>
    <w:rsid w:val="00262FA1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457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lanzoategui</dc:creator>
  <cp:lastModifiedBy>Erik Ramirez</cp:lastModifiedBy>
  <cp:revision>3</cp:revision>
  <cp:lastPrinted>2012-01-24T22:03:00Z</cp:lastPrinted>
  <dcterms:created xsi:type="dcterms:W3CDTF">2018-01-19T22:44:00Z</dcterms:created>
  <dcterms:modified xsi:type="dcterms:W3CDTF">2018-01-19T22:49:00Z</dcterms:modified>
</cp:coreProperties>
</file>