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38"/>
        <w:tblW w:w="481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15"/>
      </w:tblGrid>
      <w:tr w:rsidR="006A3DD9" w:rsidRPr="0078029A" w14:paraId="301B0449" w14:textId="77777777" w:rsidTr="00BE43D2">
        <w:trPr>
          <w:trHeight w:val="3035"/>
        </w:trPr>
        <w:tc>
          <w:tcPr>
            <w:tcW w:w="4815" w:type="dxa"/>
            <w:tcBorders>
              <w:top w:val="single" w:sz="4" w:space="0" w:color="auto"/>
              <w:left w:val="single" w:sz="4" w:space="0" w:color="auto"/>
              <w:bottom w:val="single" w:sz="4" w:space="0" w:color="auto"/>
              <w:right w:val="single" w:sz="4" w:space="0" w:color="auto"/>
            </w:tcBorders>
          </w:tcPr>
          <w:p w14:paraId="5592E406" w14:textId="77777777" w:rsidR="006A3DD9" w:rsidRPr="0078029A" w:rsidRDefault="006A3DD9" w:rsidP="006A3DD9">
            <w:pPr>
              <w:spacing w:after="0" w:line="240" w:lineRule="auto"/>
              <w:jc w:val="center"/>
              <w:rPr>
                <w:rFonts w:ascii="Georgia" w:eastAsia="Times New Roman" w:hAnsi="Georgia" w:cs="Arial"/>
                <w:color w:val="808080"/>
                <w:sz w:val="72"/>
                <w:szCs w:val="24"/>
                <w:lang w:eastAsia="es-CR"/>
              </w:rPr>
            </w:pPr>
            <w:r w:rsidRPr="0078029A">
              <w:rPr>
                <w:rFonts w:ascii="Georgia" w:eastAsia="Times New Roman" w:hAnsi="Georgia" w:cs="Tahoma"/>
                <w:color w:val="FFFFFF"/>
                <w:sz w:val="72"/>
                <w:szCs w:val="24"/>
                <w:shd w:val="clear" w:color="auto" w:fill="000080"/>
                <w:lang w:eastAsia="es-CR"/>
              </w:rPr>
              <w:t>D</w:t>
            </w:r>
            <w:r w:rsidRPr="0078029A">
              <w:rPr>
                <w:rFonts w:ascii="Georgia" w:eastAsia="Times New Roman" w:hAnsi="Georgia" w:cs="Arial"/>
                <w:b/>
                <w:bCs/>
                <w:color w:val="808080"/>
                <w:sz w:val="72"/>
                <w:szCs w:val="24"/>
                <w:lang w:eastAsia="es-CR"/>
              </w:rPr>
              <w:t>octrina</w:t>
            </w:r>
            <w:r w:rsidRPr="0078029A">
              <w:rPr>
                <w:rFonts w:ascii="Georgia" w:eastAsia="Times New Roman" w:hAnsi="Georgia" w:cs="Arial"/>
                <w:color w:val="808080"/>
                <w:sz w:val="72"/>
                <w:szCs w:val="24"/>
                <w:lang w:eastAsia="es-CR"/>
              </w:rPr>
              <w:t>:</w:t>
            </w:r>
          </w:p>
          <w:p w14:paraId="7F429238" w14:textId="237A27A8" w:rsidR="006A3DD9" w:rsidRPr="0078029A" w:rsidRDefault="008E4826" w:rsidP="00BE43D2">
            <w:pPr>
              <w:spacing w:after="0" w:line="240" w:lineRule="auto"/>
              <w:jc w:val="both"/>
              <w:rPr>
                <w:rFonts w:ascii="Georgia" w:eastAsia="Times New Roman" w:hAnsi="Georgia" w:cs="Times New Roman"/>
                <w:b/>
                <w:sz w:val="28"/>
                <w:szCs w:val="28"/>
                <w:lang w:val="es-MX" w:eastAsia="es-CR"/>
              </w:rPr>
            </w:pPr>
            <w:r>
              <w:rPr>
                <w:rFonts w:ascii="Georgia" w:eastAsia="Times New Roman" w:hAnsi="Georgia" w:cs="Times New Roman"/>
                <w:b/>
                <w:sz w:val="28"/>
                <w:szCs w:val="28"/>
                <w:lang w:val="es-MX" w:eastAsia="es-CR"/>
              </w:rPr>
              <w:t>NIIF Pyme 17, Propiedad, Planta y Equipo, consideraciones tributarias</w:t>
            </w:r>
            <w:r w:rsidR="009B4A82">
              <w:rPr>
                <w:rFonts w:ascii="Georgia" w:eastAsia="Times New Roman" w:hAnsi="Georgia" w:cs="Times New Roman"/>
                <w:b/>
                <w:sz w:val="28"/>
                <w:szCs w:val="28"/>
                <w:lang w:val="es-MX" w:eastAsia="es-CR"/>
              </w:rPr>
              <w:t>.</w:t>
            </w:r>
          </w:p>
          <w:p w14:paraId="37F05898" w14:textId="77777777" w:rsidR="006A3DD9" w:rsidRPr="0078029A" w:rsidRDefault="006A3DD9" w:rsidP="006A3DD9">
            <w:pPr>
              <w:spacing w:after="0" w:line="240" w:lineRule="auto"/>
              <w:jc w:val="both"/>
              <w:rPr>
                <w:rFonts w:ascii="Georgia" w:eastAsia="Times New Roman" w:hAnsi="Georgia" w:cs="Times New Roman"/>
                <w:b/>
                <w:sz w:val="20"/>
                <w:szCs w:val="20"/>
                <w:lang w:eastAsia="es-CR"/>
              </w:rPr>
            </w:pPr>
          </w:p>
          <w:p w14:paraId="1A838893" w14:textId="77777777" w:rsidR="006A3DD9" w:rsidRPr="0078029A" w:rsidRDefault="006A3DD9" w:rsidP="006A3DD9">
            <w:pPr>
              <w:spacing w:after="0" w:line="240" w:lineRule="auto"/>
              <w:jc w:val="both"/>
              <w:rPr>
                <w:rFonts w:ascii="Georgia" w:eastAsia="Times New Roman" w:hAnsi="Georgia" w:cs="Times New Roman"/>
                <w:b/>
                <w:lang w:eastAsia="es-CR"/>
              </w:rPr>
            </w:pPr>
            <w:r w:rsidRPr="0078029A">
              <w:rPr>
                <w:rFonts w:ascii="Georgia" w:eastAsia="Times New Roman" w:hAnsi="Georgia" w:cs="Times New Roman"/>
                <w:b/>
                <w:lang w:eastAsia="es-CR"/>
              </w:rPr>
              <w:t xml:space="preserve">Por </w:t>
            </w:r>
            <w:r w:rsidR="00C044DC" w:rsidRPr="0078029A">
              <w:rPr>
                <w:rFonts w:ascii="Georgia" w:eastAsia="Times New Roman" w:hAnsi="Georgia" w:cs="Times New Roman"/>
                <w:b/>
                <w:lang w:eastAsia="es-CR"/>
              </w:rPr>
              <w:t>Erik Ramírez, CPA, MAF, MFI</w:t>
            </w:r>
          </w:p>
          <w:p w14:paraId="431B4293" w14:textId="77777777" w:rsidR="00C044DC" w:rsidRPr="0078029A" w:rsidRDefault="00C044DC" w:rsidP="006A3DD9">
            <w:pPr>
              <w:spacing w:after="0" w:line="240" w:lineRule="auto"/>
              <w:jc w:val="both"/>
              <w:rPr>
                <w:rFonts w:ascii="Georgia" w:eastAsia="Times New Roman" w:hAnsi="Georgia" w:cs="Times New Roman"/>
                <w:b/>
                <w:lang w:val="es-MX" w:eastAsia="es-CR"/>
              </w:rPr>
            </w:pPr>
            <w:r w:rsidRPr="0078029A">
              <w:rPr>
                <w:rFonts w:ascii="Georgia" w:eastAsia="Times New Roman" w:hAnsi="Georgia" w:cs="Times New Roman"/>
                <w:b/>
                <w:lang w:val="es-MX" w:eastAsia="es-CR"/>
              </w:rPr>
              <w:t xml:space="preserve">Erik, es gerente de impuestos en </w:t>
            </w:r>
            <w:proofErr w:type="spellStart"/>
            <w:r w:rsidRPr="0078029A">
              <w:rPr>
                <w:rFonts w:ascii="Georgia" w:eastAsia="Times New Roman" w:hAnsi="Georgia" w:cs="Times New Roman"/>
                <w:b/>
                <w:lang w:val="es-MX" w:eastAsia="es-CR"/>
              </w:rPr>
              <w:t>Faycatax</w:t>
            </w:r>
            <w:proofErr w:type="spellEnd"/>
            <w:r w:rsidRPr="0078029A">
              <w:rPr>
                <w:rFonts w:ascii="Georgia" w:eastAsia="Times New Roman" w:hAnsi="Georgia" w:cs="Times New Roman"/>
                <w:b/>
                <w:lang w:val="es-MX" w:eastAsia="es-CR"/>
              </w:rPr>
              <w:t xml:space="preserve">, la división de impuestos del Bufete Facio &amp; Cañas en Costa </w:t>
            </w:r>
            <w:r w:rsidR="006F479C">
              <w:rPr>
                <w:rFonts w:ascii="Georgia" w:eastAsia="Times New Roman" w:hAnsi="Georgia" w:cs="Times New Roman"/>
                <w:b/>
                <w:lang w:val="es-MX" w:eastAsia="es-CR"/>
              </w:rPr>
              <w:t>R</w:t>
            </w:r>
            <w:r w:rsidRPr="0078029A">
              <w:rPr>
                <w:rFonts w:ascii="Georgia" w:eastAsia="Times New Roman" w:hAnsi="Georgia" w:cs="Times New Roman"/>
                <w:b/>
                <w:lang w:val="es-MX" w:eastAsia="es-CR"/>
              </w:rPr>
              <w:t>ica</w:t>
            </w:r>
          </w:p>
          <w:p w14:paraId="07D5CCB6" w14:textId="77777777" w:rsidR="006A3DD9" w:rsidRPr="0078029A" w:rsidRDefault="006A3DD9" w:rsidP="00C044DC">
            <w:pPr>
              <w:spacing w:after="120" w:line="240" w:lineRule="auto"/>
              <w:rPr>
                <w:rFonts w:ascii="Georgia" w:eastAsia="Times New Roman" w:hAnsi="Georgia" w:cs="Times New Roman"/>
                <w:sz w:val="20"/>
                <w:szCs w:val="20"/>
                <w:lang w:eastAsia="es-CR"/>
              </w:rPr>
            </w:pPr>
          </w:p>
        </w:tc>
      </w:tr>
    </w:tbl>
    <w:p w14:paraId="178037C5"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2CE82C7A"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61FF08BA"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0FFEC18F"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3B543356"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28424069"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10ADD1A4"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77503DB7"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5C5C9E13"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68291DD6"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0C6A79E8"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6BD3609E"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272E751A"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3C4F28E8"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43E12A8B" w14:textId="77777777" w:rsidR="006A3DD9" w:rsidRPr="0078029A" w:rsidRDefault="006A3DD9" w:rsidP="006A3DD9">
      <w:pPr>
        <w:spacing w:after="0" w:line="240" w:lineRule="auto"/>
        <w:rPr>
          <w:rFonts w:ascii="Georgia" w:eastAsia="Times New Roman" w:hAnsi="Georgia" w:cs="Times New Roman"/>
          <w:sz w:val="20"/>
          <w:szCs w:val="20"/>
          <w:lang w:val="es-ES" w:eastAsia="es-CR"/>
        </w:rPr>
      </w:pPr>
    </w:p>
    <w:p w14:paraId="3029DD4E" w14:textId="3603EA8D" w:rsidR="006A3DD9" w:rsidRDefault="006A3DD9" w:rsidP="006A3DD9">
      <w:pPr>
        <w:spacing w:after="0" w:line="240" w:lineRule="auto"/>
        <w:rPr>
          <w:rFonts w:ascii="Georgia" w:eastAsia="Times New Roman" w:hAnsi="Georgia" w:cs="Times New Roman"/>
          <w:sz w:val="20"/>
          <w:szCs w:val="20"/>
          <w:lang w:val="es-ES" w:eastAsia="es-CR"/>
        </w:rPr>
      </w:pPr>
    </w:p>
    <w:p w14:paraId="4F49FFC2" w14:textId="64E59BD4" w:rsidR="009863E2" w:rsidRDefault="009863E2" w:rsidP="006A3DD9">
      <w:pPr>
        <w:spacing w:after="0" w:line="240" w:lineRule="auto"/>
        <w:rPr>
          <w:rFonts w:ascii="Georgia" w:eastAsia="Times New Roman" w:hAnsi="Georgia" w:cs="Times New Roman"/>
          <w:sz w:val="20"/>
          <w:szCs w:val="20"/>
          <w:lang w:val="es-ES" w:eastAsia="es-CR"/>
        </w:rPr>
      </w:pPr>
    </w:p>
    <w:p w14:paraId="5797F280" w14:textId="7B3EF435" w:rsidR="009863E2" w:rsidRDefault="009863E2" w:rsidP="006A3DD9">
      <w:pPr>
        <w:spacing w:after="0" w:line="240" w:lineRule="auto"/>
        <w:rPr>
          <w:rFonts w:ascii="Georgia" w:eastAsia="Times New Roman" w:hAnsi="Georgia" w:cs="Times New Roman"/>
          <w:sz w:val="20"/>
          <w:szCs w:val="20"/>
          <w:lang w:val="es-ES" w:eastAsia="es-CR"/>
        </w:rPr>
      </w:pPr>
    </w:p>
    <w:p w14:paraId="392BA20B" w14:textId="77777777" w:rsidR="009863E2" w:rsidRPr="0078029A" w:rsidRDefault="009863E2" w:rsidP="006A3DD9">
      <w:pPr>
        <w:spacing w:after="0" w:line="240" w:lineRule="auto"/>
        <w:rPr>
          <w:rFonts w:ascii="Georgia" w:eastAsia="Times New Roman" w:hAnsi="Georgia" w:cs="Times New Roman"/>
          <w:sz w:val="20"/>
          <w:szCs w:val="20"/>
          <w:lang w:val="es-ES" w:eastAsia="es-CR"/>
        </w:rPr>
      </w:pPr>
    </w:p>
    <w:p w14:paraId="511BC5C3" w14:textId="77777777" w:rsidR="00317597" w:rsidRPr="0078029A" w:rsidRDefault="00317597" w:rsidP="006A3DD9">
      <w:pPr>
        <w:spacing w:after="0" w:line="240" w:lineRule="auto"/>
        <w:rPr>
          <w:rFonts w:ascii="Georgia" w:eastAsia="Times New Roman" w:hAnsi="Georgia" w:cs="Times New Roman"/>
          <w:sz w:val="24"/>
          <w:szCs w:val="24"/>
          <w:lang w:val="es-ES" w:eastAsia="es-CR"/>
        </w:rPr>
      </w:pPr>
    </w:p>
    <w:p w14:paraId="7D30E10B" w14:textId="1031A035" w:rsidR="009B4A82" w:rsidRPr="009863E2" w:rsidRDefault="009B4A82" w:rsidP="009863E2">
      <w:pPr>
        <w:pStyle w:val="Default"/>
        <w:numPr>
          <w:ilvl w:val="0"/>
          <w:numId w:val="3"/>
        </w:numPr>
        <w:jc w:val="both"/>
        <w:rPr>
          <w:rFonts w:ascii="Georgia" w:eastAsia="Times New Roman" w:hAnsi="Georgia" w:cs="Times New Roman"/>
          <w:b/>
          <w:bCs/>
          <w:lang w:val="es-ES" w:eastAsia="es-CR"/>
        </w:rPr>
      </w:pPr>
      <w:bookmarkStart w:id="0" w:name="_Hlk25941863"/>
      <w:r w:rsidRPr="009863E2">
        <w:rPr>
          <w:rFonts w:ascii="Georgia" w:eastAsia="Times New Roman" w:hAnsi="Georgia" w:cs="Times New Roman"/>
          <w:b/>
          <w:bCs/>
          <w:lang w:val="es-ES" w:eastAsia="es-CR"/>
        </w:rPr>
        <w:t xml:space="preserve">Tratamiento contable </w:t>
      </w:r>
      <w:r w:rsidR="008E4826">
        <w:rPr>
          <w:rFonts w:ascii="Georgia" w:eastAsia="Times New Roman" w:hAnsi="Georgia" w:cs="Times New Roman"/>
          <w:b/>
          <w:bCs/>
          <w:lang w:val="es-ES" w:eastAsia="es-CR"/>
        </w:rPr>
        <w:t>breve reseña</w:t>
      </w:r>
    </w:p>
    <w:bookmarkEnd w:id="0"/>
    <w:p w14:paraId="5BC4C810" w14:textId="77777777" w:rsidR="009B4A82" w:rsidRDefault="009B4A82" w:rsidP="00681188">
      <w:pPr>
        <w:pStyle w:val="Default"/>
        <w:jc w:val="both"/>
        <w:rPr>
          <w:rFonts w:ascii="Georgia" w:eastAsia="Times New Roman" w:hAnsi="Georgia" w:cs="Times New Roman"/>
          <w:lang w:val="es-ES" w:eastAsia="es-CR"/>
        </w:rPr>
      </w:pPr>
    </w:p>
    <w:p w14:paraId="0B7DFBB6" w14:textId="472EFAD7" w:rsidR="004F1071" w:rsidRDefault="008E4826" w:rsidP="004F1071">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Con el </w:t>
      </w:r>
      <w:r w:rsidR="004F1071">
        <w:rPr>
          <w:rFonts w:ascii="Georgia" w:eastAsia="Times New Roman" w:hAnsi="Georgia" w:cs="Times New Roman"/>
          <w:lang w:val="es-ES" w:eastAsia="es-CR"/>
        </w:rPr>
        <w:t xml:space="preserve">objetivo de continuar desarrollando valoraciones tributarias para los distintos tratamientos contables que pueden </w:t>
      </w:r>
      <w:r w:rsidR="0019052D">
        <w:rPr>
          <w:rFonts w:ascii="Georgia" w:eastAsia="Times New Roman" w:hAnsi="Georgia" w:cs="Times New Roman"/>
          <w:lang w:val="es-ES" w:eastAsia="es-CR"/>
        </w:rPr>
        <w:t>existir en</w:t>
      </w:r>
      <w:r w:rsidR="004F1071">
        <w:rPr>
          <w:rFonts w:ascii="Georgia" w:eastAsia="Times New Roman" w:hAnsi="Georgia" w:cs="Times New Roman"/>
          <w:lang w:val="es-ES" w:eastAsia="es-CR"/>
        </w:rPr>
        <w:t xml:space="preserve"> las normas financieras de aceptación general y según lo que establece el artículo 86 del Reglamento de la Ley del Impuesto sobre la Renta (anteriormente artículo 57), respecto a la obligatoriedad de los contribuyentes para aplicar las NIIF o NIIF Pymes, el artículo en esta ocasión se enfocará en la Norma Internacional de Información Financiera Pyme 17, Propiedad, Planta y Equipo (NPPE).</w:t>
      </w:r>
    </w:p>
    <w:p w14:paraId="71471902" w14:textId="4F97472E" w:rsidR="004F1071" w:rsidRDefault="004F1071" w:rsidP="004F1071">
      <w:pPr>
        <w:pStyle w:val="Default"/>
        <w:jc w:val="both"/>
        <w:rPr>
          <w:rFonts w:ascii="Georgia" w:eastAsia="Times New Roman" w:hAnsi="Georgia" w:cs="Times New Roman"/>
          <w:lang w:val="es-ES" w:eastAsia="es-CR"/>
        </w:rPr>
      </w:pPr>
    </w:p>
    <w:p w14:paraId="640E8B28" w14:textId="7059DF25" w:rsidR="005647AD" w:rsidRDefault="005647AD" w:rsidP="004F1071">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Según </w:t>
      </w:r>
      <w:r w:rsidR="004F1071">
        <w:rPr>
          <w:rFonts w:ascii="Georgia" w:eastAsia="Times New Roman" w:hAnsi="Georgia" w:cs="Times New Roman"/>
          <w:lang w:val="es-ES" w:eastAsia="es-CR"/>
        </w:rPr>
        <w:t>la norma</w:t>
      </w:r>
      <w:r w:rsidR="0019052D">
        <w:rPr>
          <w:rFonts w:ascii="Georgia" w:eastAsia="Times New Roman" w:hAnsi="Georgia" w:cs="Times New Roman"/>
          <w:lang w:val="es-ES" w:eastAsia="es-CR"/>
        </w:rPr>
        <w:t>,</w:t>
      </w:r>
      <w:r w:rsidR="004F1071">
        <w:rPr>
          <w:rFonts w:ascii="Georgia" w:eastAsia="Times New Roman" w:hAnsi="Georgia" w:cs="Times New Roman"/>
          <w:lang w:val="es-ES" w:eastAsia="es-CR"/>
        </w:rPr>
        <w:t xml:space="preserve"> para</w:t>
      </w:r>
      <w:r>
        <w:rPr>
          <w:rFonts w:ascii="Georgia" w:eastAsia="Times New Roman" w:hAnsi="Georgia" w:cs="Times New Roman"/>
          <w:lang w:val="es-ES" w:eastAsia="es-CR"/>
        </w:rPr>
        <w:t xml:space="preserve"> que</w:t>
      </w:r>
      <w:r w:rsidR="004F1071">
        <w:rPr>
          <w:rFonts w:ascii="Georgia" w:eastAsia="Times New Roman" w:hAnsi="Georgia" w:cs="Times New Roman"/>
          <w:lang w:val="es-ES" w:eastAsia="es-CR"/>
        </w:rPr>
        <w:t xml:space="preserve"> un activo sea reconocido como </w:t>
      </w:r>
      <w:r>
        <w:rPr>
          <w:rFonts w:ascii="Georgia" w:eastAsia="Times New Roman" w:hAnsi="Georgia" w:cs="Times New Roman"/>
          <w:lang w:val="es-ES" w:eastAsia="es-CR"/>
        </w:rPr>
        <w:t xml:space="preserve">propiedad, planta y equipo (PPE) deberán darse dos consideraciones, que sea probable que la entidad obtenga beneficios económicos futuros y que el costo del elemento pueda medirse con fiabilidad. </w:t>
      </w:r>
    </w:p>
    <w:p w14:paraId="3E5585F3" w14:textId="77777777" w:rsidR="005647AD" w:rsidRDefault="005647AD" w:rsidP="004F1071">
      <w:pPr>
        <w:pStyle w:val="Default"/>
        <w:jc w:val="both"/>
        <w:rPr>
          <w:rFonts w:ascii="Georgia" w:eastAsia="Times New Roman" w:hAnsi="Georgia" w:cs="Times New Roman"/>
          <w:lang w:val="es-ES" w:eastAsia="es-CR"/>
        </w:rPr>
      </w:pPr>
    </w:p>
    <w:p w14:paraId="59512F58" w14:textId="35F6DC3B" w:rsidR="005647AD" w:rsidRDefault="005647AD" w:rsidP="004F1071">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Desembolsos asociados a piezas de repuestos, equipos de reserva o auxiliares, deberán cumplir la definición de PPE para ser reconocidos como tales y si</w:t>
      </w:r>
      <w:r w:rsidR="0019052D">
        <w:rPr>
          <w:rFonts w:ascii="Georgia" w:eastAsia="Times New Roman" w:hAnsi="Georgia" w:cs="Times New Roman"/>
          <w:lang w:val="es-ES" w:eastAsia="es-CR"/>
        </w:rPr>
        <w:t xml:space="preserve"> </w:t>
      </w:r>
      <w:r>
        <w:rPr>
          <w:rFonts w:ascii="Georgia" w:eastAsia="Times New Roman" w:hAnsi="Georgia" w:cs="Times New Roman"/>
          <w:lang w:val="es-ES" w:eastAsia="es-CR"/>
        </w:rPr>
        <w:t xml:space="preserve">no </w:t>
      </w:r>
      <w:r w:rsidR="0019052D">
        <w:rPr>
          <w:rFonts w:ascii="Georgia" w:eastAsia="Times New Roman" w:hAnsi="Georgia" w:cs="Times New Roman"/>
          <w:lang w:val="es-ES" w:eastAsia="es-CR"/>
        </w:rPr>
        <w:t xml:space="preserve">lo hacen </w:t>
      </w:r>
      <w:r>
        <w:rPr>
          <w:rFonts w:ascii="Georgia" w:eastAsia="Times New Roman" w:hAnsi="Georgia" w:cs="Times New Roman"/>
          <w:lang w:val="es-ES" w:eastAsia="es-CR"/>
        </w:rPr>
        <w:t>serán registrados como inventarios, donde es importante recordar que los inventarios respecto a su medición posterior al reconocimiento inicial no se revalúan o deprecian</w:t>
      </w:r>
      <w:r w:rsidR="0019052D">
        <w:rPr>
          <w:rFonts w:ascii="Georgia" w:eastAsia="Times New Roman" w:hAnsi="Georgia" w:cs="Times New Roman"/>
          <w:lang w:val="es-ES" w:eastAsia="es-CR"/>
        </w:rPr>
        <w:t>.</w:t>
      </w:r>
    </w:p>
    <w:p w14:paraId="13A41F2F" w14:textId="351EB891" w:rsidR="005647AD" w:rsidRDefault="005647AD" w:rsidP="004F1071">
      <w:pPr>
        <w:pStyle w:val="Default"/>
        <w:jc w:val="both"/>
        <w:rPr>
          <w:rFonts w:ascii="Georgia" w:eastAsia="Times New Roman" w:hAnsi="Georgia" w:cs="Times New Roman"/>
          <w:lang w:val="es-ES" w:eastAsia="es-CR"/>
        </w:rPr>
      </w:pPr>
    </w:p>
    <w:p w14:paraId="769B73DB" w14:textId="7D42D45D" w:rsidR="005647AD" w:rsidRDefault="005647AD" w:rsidP="004F1071">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Entre otros </w:t>
      </w:r>
      <w:r w:rsidR="0019052D">
        <w:rPr>
          <w:rFonts w:ascii="Georgia" w:eastAsia="Times New Roman" w:hAnsi="Georgia" w:cs="Times New Roman"/>
          <w:lang w:val="es-ES" w:eastAsia="es-CR"/>
        </w:rPr>
        <w:t xml:space="preserve">supuestos, </w:t>
      </w:r>
      <w:r>
        <w:rPr>
          <w:rFonts w:ascii="Georgia" w:eastAsia="Times New Roman" w:hAnsi="Georgia" w:cs="Times New Roman"/>
          <w:lang w:val="es-ES" w:eastAsia="es-CR"/>
        </w:rPr>
        <w:t xml:space="preserve">si una entidad requiere </w:t>
      </w:r>
      <w:r w:rsidR="00A20C2C">
        <w:rPr>
          <w:rFonts w:ascii="Georgia" w:eastAsia="Times New Roman" w:hAnsi="Georgia" w:cs="Times New Roman"/>
          <w:lang w:val="es-ES" w:eastAsia="es-CR"/>
        </w:rPr>
        <w:t>reemplazar</w:t>
      </w:r>
      <w:r>
        <w:rPr>
          <w:rFonts w:ascii="Georgia" w:eastAsia="Times New Roman" w:hAnsi="Georgia" w:cs="Times New Roman"/>
          <w:lang w:val="es-ES" w:eastAsia="es-CR"/>
        </w:rPr>
        <w:t xml:space="preserve"> el techo de un edificio, si el desembolso genera beneficios económicos futuros </w:t>
      </w:r>
      <w:r w:rsidR="00A20C2C">
        <w:rPr>
          <w:rFonts w:ascii="Georgia" w:eastAsia="Times New Roman" w:hAnsi="Georgia" w:cs="Times New Roman"/>
          <w:lang w:val="es-ES" w:eastAsia="es-CR"/>
        </w:rPr>
        <w:t>adicionales a la entidad, deberá reconocerse como PPE.</w:t>
      </w:r>
    </w:p>
    <w:p w14:paraId="17F972D7" w14:textId="57B755CE" w:rsidR="00A20C2C" w:rsidRDefault="00A20C2C" w:rsidP="004F1071">
      <w:pPr>
        <w:pStyle w:val="Default"/>
        <w:jc w:val="both"/>
        <w:rPr>
          <w:rFonts w:ascii="Georgia" w:eastAsia="Times New Roman" w:hAnsi="Georgia" w:cs="Times New Roman"/>
          <w:lang w:val="es-ES" w:eastAsia="es-CR"/>
        </w:rPr>
      </w:pPr>
    </w:p>
    <w:p w14:paraId="2F63A66A" w14:textId="4F5E34D3" w:rsidR="00A20C2C" w:rsidRDefault="00A20C2C" w:rsidP="004F1071">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En el caso de inspecciones periódicas</w:t>
      </w:r>
      <w:r w:rsidR="00EF7A9B">
        <w:rPr>
          <w:rFonts w:ascii="Georgia" w:eastAsia="Times New Roman" w:hAnsi="Georgia" w:cs="Times New Roman"/>
          <w:lang w:val="es-ES" w:eastAsia="es-CR"/>
        </w:rPr>
        <w:t>,</w:t>
      </w:r>
      <w:r>
        <w:rPr>
          <w:rFonts w:ascii="Georgia" w:eastAsia="Times New Roman" w:hAnsi="Georgia" w:cs="Times New Roman"/>
          <w:lang w:val="es-ES" w:eastAsia="es-CR"/>
        </w:rPr>
        <w:t xml:space="preserve"> por ejemplo a un autobús</w:t>
      </w:r>
      <w:r w:rsidR="00EF7A9B">
        <w:rPr>
          <w:rFonts w:ascii="Georgia" w:eastAsia="Times New Roman" w:hAnsi="Georgia" w:cs="Times New Roman"/>
          <w:lang w:val="es-ES" w:eastAsia="es-CR"/>
        </w:rPr>
        <w:t>,</w:t>
      </w:r>
      <w:r>
        <w:rPr>
          <w:rFonts w:ascii="Georgia" w:eastAsia="Times New Roman" w:hAnsi="Georgia" w:cs="Times New Roman"/>
          <w:lang w:val="es-ES" w:eastAsia="es-CR"/>
        </w:rPr>
        <w:t xml:space="preserve"> con el fin de determinar su estado y de si es necesario hacer reemplazos de partes, </w:t>
      </w:r>
      <w:r w:rsidR="00E87B33">
        <w:rPr>
          <w:rFonts w:ascii="Georgia" w:eastAsia="Times New Roman" w:hAnsi="Georgia" w:cs="Times New Roman"/>
          <w:lang w:val="es-ES" w:eastAsia="es-CR"/>
        </w:rPr>
        <w:t>el valor monetario</w:t>
      </w:r>
      <w:r>
        <w:rPr>
          <w:rFonts w:ascii="Georgia" w:eastAsia="Times New Roman" w:hAnsi="Georgia" w:cs="Times New Roman"/>
          <w:lang w:val="es-ES" w:eastAsia="es-CR"/>
        </w:rPr>
        <w:t xml:space="preserve"> de</w:t>
      </w:r>
      <w:r w:rsidR="00E87B33">
        <w:rPr>
          <w:rFonts w:ascii="Georgia" w:eastAsia="Times New Roman" w:hAnsi="Georgia" w:cs="Times New Roman"/>
          <w:lang w:val="es-ES" w:eastAsia="es-CR"/>
        </w:rPr>
        <w:t xml:space="preserve"> la</w:t>
      </w:r>
      <w:r>
        <w:rPr>
          <w:rFonts w:ascii="Georgia" w:eastAsia="Times New Roman" w:hAnsi="Georgia" w:cs="Times New Roman"/>
          <w:lang w:val="es-ES" w:eastAsia="es-CR"/>
        </w:rPr>
        <w:t xml:space="preserve"> inspección deberá adicionarse al importe en libros del activo.</w:t>
      </w:r>
    </w:p>
    <w:p w14:paraId="4C93C92E" w14:textId="5C99D7EE" w:rsidR="00E87B33" w:rsidRDefault="00E87B33" w:rsidP="004F1071">
      <w:pPr>
        <w:pStyle w:val="Default"/>
        <w:jc w:val="both"/>
        <w:rPr>
          <w:rFonts w:ascii="Georgia" w:eastAsia="Times New Roman" w:hAnsi="Georgia" w:cs="Times New Roman"/>
          <w:lang w:val="es-ES" w:eastAsia="es-CR"/>
        </w:rPr>
      </w:pPr>
    </w:p>
    <w:p w14:paraId="10FC5993" w14:textId="74249C45" w:rsidR="00A20C2C" w:rsidRDefault="00A20C2C" w:rsidP="004F1071">
      <w:pPr>
        <w:pStyle w:val="Default"/>
        <w:jc w:val="both"/>
        <w:rPr>
          <w:rFonts w:ascii="Georgia" w:eastAsia="Times New Roman" w:hAnsi="Georgia" w:cs="Times New Roman"/>
          <w:lang w:val="es-ES" w:eastAsia="es-CR"/>
        </w:rPr>
      </w:pPr>
    </w:p>
    <w:p w14:paraId="3B8C03DE" w14:textId="21FD8563" w:rsidR="00A20C2C" w:rsidRDefault="00A20C2C" w:rsidP="004F1071">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lastRenderedPageBreak/>
        <w:t>Respecto de las piezas sustituidas</w:t>
      </w:r>
      <w:r w:rsidR="00555CF2">
        <w:rPr>
          <w:rFonts w:ascii="Georgia" w:eastAsia="Times New Roman" w:hAnsi="Georgia" w:cs="Times New Roman"/>
          <w:lang w:val="es-ES" w:eastAsia="es-CR"/>
        </w:rPr>
        <w:t xml:space="preserve">, se deberá identificar el valor de esa sección del activo para darlo de baja donde un parámetro para establecer el valor de ese registro puede </w:t>
      </w:r>
      <w:r w:rsidR="0019052D">
        <w:rPr>
          <w:rFonts w:ascii="Georgia" w:eastAsia="Times New Roman" w:hAnsi="Georgia" w:cs="Times New Roman"/>
          <w:lang w:val="es-ES" w:eastAsia="es-CR"/>
        </w:rPr>
        <w:t>derivar d</w:t>
      </w:r>
      <w:r w:rsidR="00555CF2">
        <w:rPr>
          <w:rFonts w:ascii="Georgia" w:eastAsia="Times New Roman" w:hAnsi="Georgia" w:cs="Times New Roman"/>
          <w:lang w:val="es-ES" w:eastAsia="es-CR"/>
        </w:rPr>
        <w:t>el costo del activo nuevo</w:t>
      </w:r>
      <w:r w:rsidR="00EF7A9B">
        <w:rPr>
          <w:rFonts w:ascii="Georgia" w:eastAsia="Times New Roman" w:hAnsi="Georgia" w:cs="Times New Roman"/>
          <w:lang w:val="es-ES" w:eastAsia="es-CR"/>
        </w:rPr>
        <w:t>.</w:t>
      </w:r>
    </w:p>
    <w:p w14:paraId="56BCF06A" w14:textId="295FF172" w:rsidR="00E87B33" w:rsidRDefault="00E87B33" w:rsidP="004F1071">
      <w:pPr>
        <w:pStyle w:val="Default"/>
        <w:jc w:val="both"/>
        <w:rPr>
          <w:rFonts w:ascii="Georgia" w:eastAsia="Times New Roman" w:hAnsi="Georgia" w:cs="Times New Roman"/>
          <w:lang w:val="es-ES" w:eastAsia="es-CR"/>
        </w:rPr>
      </w:pPr>
    </w:p>
    <w:p w14:paraId="4C2990AC" w14:textId="5F24D4C7" w:rsidR="00E87B33" w:rsidRDefault="00E87B33" w:rsidP="00E87B33">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Con relación a los terrenos y los edificios la norma contable enfatiza en que estos deben registrarse de forma separada, aunque </w:t>
      </w:r>
      <w:r w:rsidR="0019052D">
        <w:rPr>
          <w:rFonts w:ascii="Georgia" w:eastAsia="Times New Roman" w:hAnsi="Georgia" w:cs="Times New Roman"/>
          <w:lang w:val="es-ES" w:eastAsia="es-CR"/>
        </w:rPr>
        <w:t>hayan sido adquiridos</w:t>
      </w:r>
      <w:r>
        <w:rPr>
          <w:rFonts w:ascii="Georgia" w:eastAsia="Times New Roman" w:hAnsi="Georgia" w:cs="Times New Roman"/>
          <w:lang w:val="es-ES" w:eastAsia="es-CR"/>
        </w:rPr>
        <w:t xml:space="preserve"> de forma conjunta; situación que tiene relevancia en el caso de la identificación de la base de depreciación del activo, del gasto deducible y de ulteriores ventas de activos y sus ganancias de capital.</w:t>
      </w:r>
    </w:p>
    <w:p w14:paraId="66F95805" w14:textId="06B299E7" w:rsidR="00902979" w:rsidRDefault="00902979" w:rsidP="00E87B33">
      <w:pPr>
        <w:pStyle w:val="Default"/>
        <w:jc w:val="both"/>
        <w:rPr>
          <w:rFonts w:ascii="Georgia" w:eastAsia="Times New Roman" w:hAnsi="Georgia" w:cs="Times New Roman"/>
          <w:lang w:val="es-ES" w:eastAsia="es-CR"/>
        </w:rPr>
      </w:pPr>
    </w:p>
    <w:p w14:paraId="0CC6DD7B" w14:textId="3C8F91ED" w:rsidR="00902979" w:rsidRDefault="00902979" w:rsidP="00E87B33">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En el reconocimiento inicial la entidad registrará la PPE al costo, donde algunos de los componentes serían:</w:t>
      </w:r>
    </w:p>
    <w:p w14:paraId="64A1DF4F" w14:textId="77777777" w:rsidR="0019052D" w:rsidRDefault="0019052D" w:rsidP="00E87B33">
      <w:pPr>
        <w:pStyle w:val="Default"/>
        <w:jc w:val="both"/>
        <w:rPr>
          <w:rFonts w:ascii="Georgia" w:eastAsia="Times New Roman" w:hAnsi="Georgia" w:cs="Times New Roman"/>
          <w:lang w:val="es-ES" w:eastAsia="es-CR"/>
        </w:rPr>
      </w:pPr>
    </w:p>
    <w:p w14:paraId="3285BBD7" w14:textId="4C154790" w:rsidR="00902979" w:rsidRDefault="00902979" w:rsidP="00902979">
      <w:pPr>
        <w:pStyle w:val="Default"/>
        <w:numPr>
          <w:ilvl w:val="0"/>
          <w:numId w:val="7"/>
        </w:numPr>
        <w:jc w:val="both"/>
        <w:rPr>
          <w:rFonts w:ascii="Georgia" w:eastAsia="Times New Roman" w:hAnsi="Georgia" w:cs="Times New Roman"/>
          <w:lang w:val="es-ES" w:eastAsia="es-CR"/>
        </w:rPr>
      </w:pPr>
      <w:r>
        <w:rPr>
          <w:rFonts w:ascii="Georgia" w:eastAsia="Times New Roman" w:hAnsi="Georgia" w:cs="Times New Roman"/>
          <w:lang w:val="es-ES" w:eastAsia="es-CR"/>
        </w:rPr>
        <w:t>El precio de adquisición que incluye gastos legales y de intermediación, aquí podríamos hablar de comisionistas que intervinieron en la transacción, además, aranceles de importación y los impuestos no recuperables.</w:t>
      </w:r>
    </w:p>
    <w:p w14:paraId="4E27EF41" w14:textId="00F1870C" w:rsidR="00902979" w:rsidRDefault="00902979" w:rsidP="00902979">
      <w:pPr>
        <w:pStyle w:val="Default"/>
        <w:numPr>
          <w:ilvl w:val="0"/>
          <w:numId w:val="7"/>
        </w:numPr>
        <w:jc w:val="both"/>
        <w:rPr>
          <w:rFonts w:ascii="Georgia" w:eastAsia="Times New Roman" w:hAnsi="Georgia" w:cs="Times New Roman"/>
          <w:lang w:val="es-ES" w:eastAsia="es-CR"/>
        </w:rPr>
      </w:pPr>
      <w:r>
        <w:rPr>
          <w:rFonts w:ascii="Georgia" w:eastAsia="Times New Roman" w:hAnsi="Georgia" w:cs="Times New Roman"/>
          <w:lang w:val="es-ES" w:eastAsia="es-CR"/>
        </w:rPr>
        <w:t>Todos los costos necesarios para la ubicación del activo en el lugar y condiciones previstos por la gerencia para su utilización, entre estos, preparación del lugar donde se ubicará, costos de entrega, etc.</w:t>
      </w:r>
    </w:p>
    <w:p w14:paraId="4CD689DC" w14:textId="21E2DADD" w:rsidR="00902979" w:rsidRDefault="00902979" w:rsidP="00902979">
      <w:pPr>
        <w:pStyle w:val="Default"/>
        <w:numPr>
          <w:ilvl w:val="0"/>
          <w:numId w:val="7"/>
        </w:numPr>
        <w:jc w:val="both"/>
        <w:rPr>
          <w:rFonts w:ascii="Georgia" w:eastAsia="Times New Roman" w:hAnsi="Georgia" w:cs="Times New Roman"/>
          <w:lang w:val="es-ES" w:eastAsia="es-CR"/>
        </w:rPr>
      </w:pPr>
      <w:r>
        <w:rPr>
          <w:rFonts w:ascii="Georgia" w:eastAsia="Times New Roman" w:hAnsi="Georgia" w:cs="Times New Roman"/>
          <w:lang w:val="es-ES" w:eastAsia="es-CR"/>
        </w:rPr>
        <w:t>La estimación inicial de los costos de desmantelamiento o retiro del elemento, así como la rehabilitación del lugar entre otros.</w:t>
      </w:r>
    </w:p>
    <w:p w14:paraId="6D119625" w14:textId="56BA0C91" w:rsidR="00902979" w:rsidRDefault="00902979" w:rsidP="00902979">
      <w:pPr>
        <w:pStyle w:val="Default"/>
        <w:jc w:val="both"/>
        <w:rPr>
          <w:rFonts w:ascii="Georgia" w:eastAsia="Times New Roman" w:hAnsi="Georgia" w:cs="Times New Roman"/>
          <w:lang w:val="es-ES" w:eastAsia="es-CR"/>
        </w:rPr>
      </w:pPr>
    </w:p>
    <w:p w14:paraId="3A80EBB8" w14:textId="3B1AC3F0" w:rsidR="00902979" w:rsidRDefault="00902979" w:rsidP="00902979">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No forman parte del costo de la PPE y por tanto serán reconocidos como gastos en el resultado del período:</w:t>
      </w:r>
    </w:p>
    <w:p w14:paraId="0CDBAC4D" w14:textId="626DBED7" w:rsidR="00902979" w:rsidRDefault="00902979" w:rsidP="00902979">
      <w:pPr>
        <w:pStyle w:val="Default"/>
        <w:jc w:val="both"/>
        <w:rPr>
          <w:rFonts w:ascii="Georgia" w:eastAsia="Times New Roman" w:hAnsi="Georgia" w:cs="Times New Roman"/>
          <w:lang w:val="es-ES" w:eastAsia="es-CR"/>
        </w:rPr>
      </w:pPr>
    </w:p>
    <w:p w14:paraId="273F3924" w14:textId="2D02F54A" w:rsidR="00902979" w:rsidRDefault="00902979" w:rsidP="00902979">
      <w:pPr>
        <w:pStyle w:val="Default"/>
        <w:numPr>
          <w:ilvl w:val="0"/>
          <w:numId w:val="8"/>
        </w:numPr>
        <w:jc w:val="both"/>
        <w:rPr>
          <w:rFonts w:ascii="Georgia" w:eastAsia="Times New Roman" w:hAnsi="Georgia" w:cs="Times New Roman"/>
          <w:lang w:val="es-ES" w:eastAsia="es-CR"/>
        </w:rPr>
      </w:pPr>
      <w:r>
        <w:rPr>
          <w:rFonts w:ascii="Georgia" w:eastAsia="Times New Roman" w:hAnsi="Georgia" w:cs="Times New Roman"/>
          <w:lang w:val="es-ES" w:eastAsia="es-CR"/>
        </w:rPr>
        <w:t>Costos de apertura de una nueva instalación productiva.</w:t>
      </w:r>
    </w:p>
    <w:p w14:paraId="6588D865" w14:textId="1880FA8C" w:rsidR="00902979" w:rsidRDefault="00902979" w:rsidP="00902979">
      <w:pPr>
        <w:pStyle w:val="Default"/>
        <w:numPr>
          <w:ilvl w:val="0"/>
          <w:numId w:val="8"/>
        </w:numPr>
        <w:jc w:val="both"/>
        <w:rPr>
          <w:rFonts w:ascii="Georgia" w:eastAsia="Times New Roman" w:hAnsi="Georgia" w:cs="Times New Roman"/>
          <w:lang w:val="es-ES" w:eastAsia="es-CR"/>
        </w:rPr>
      </w:pPr>
      <w:r>
        <w:rPr>
          <w:rFonts w:ascii="Georgia" w:eastAsia="Times New Roman" w:hAnsi="Georgia" w:cs="Times New Roman"/>
          <w:lang w:val="es-ES" w:eastAsia="es-CR"/>
        </w:rPr>
        <w:t>Costos de introducción de un nuevo producto, promoción y mercadeo.</w:t>
      </w:r>
    </w:p>
    <w:p w14:paraId="27188F53" w14:textId="4FE2C5DF" w:rsidR="00902979" w:rsidRDefault="00902979" w:rsidP="00902979">
      <w:pPr>
        <w:pStyle w:val="Default"/>
        <w:numPr>
          <w:ilvl w:val="0"/>
          <w:numId w:val="8"/>
        </w:numPr>
        <w:jc w:val="both"/>
        <w:rPr>
          <w:rFonts w:ascii="Georgia" w:eastAsia="Times New Roman" w:hAnsi="Georgia" w:cs="Times New Roman"/>
          <w:lang w:val="es-ES" w:eastAsia="es-CR"/>
        </w:rPr>
      </w:pPr>
      <w:r>
        <w:rPr>
          <w:rFonts w:ascii="Georgia" w:eastAsia="Times New Roman" w:hAnsi="Georgia" w:cs="Times New Roman"/>
          <w:lang w:val="es-ES" w:eastAsia="es-CR"/>
        </w:rPr>
        <w:t>Costos de apertura en una nueva localización o de recursos para redi</w:t>
      </w:r>
      <w:r w:rsidR="00C15110">
        <w:rPr>
          <w:rFonts w:ascii="Georgia" w:eastAsia="Times New Roman" w:hAnsi="Georgia" w:cs="Times New Roman"/>
          <w:lang w:val="es-ES" w:eastAsia="es-CR"/>
        </w:rPr>
        <w:t>rigirlo a una nueva clientela, así también los desembolsos de capacitación del personal.</w:t>
      </w:r>
    </w:p>
    <w:p w14:paraId="49CDD840" w14:textId="7AD019BD" w:rsidR="00C15110" w:rsidRDefault="00C15110" w:rsidP="00902979">
      <w:pPr>
        <w:pStyle w:val="Default"/>
        <w:numPr>
          <w:ilvl w:val="0"/>
          <w:numId w:val="8"/>
        </w:numPr>
        <w:jc w:val="both"/>
        <w:rPr>
          <w:rFonts w:ascii="Georgia" w:eastAsia="Times New Roman" w:hAnsi="Georgia" w:cs="Times New Roman"/>
          <w:lang w:val="es-ES" w:eastAsia="es-CR"/>
        </w:rPr>
      </w:pPr>
      <w:r>
        <w:rPr>
          <w:rFonts w:ascii="Georgia" w:eastAsia="Times New Roman" w:hAnsi="Georgia" w:cs="Times New Roman"/>
          <w:lang w:val="es-ES" w:eastAsia="es-CR"/>
        </w:rPr>
        <w:t>Costos de administración y otros generales indirectos.</w:t>
      </w:r>
    </w:p>
    <w:p w14:paraId="1C7856DB" w14:textId="6E4A5578" w:rsidR="00C15110" w:rsidRDefault="00C15110" w:rsidP="00902979">
      <w:pPr>
        <w:pStyle w:val="Default"/>
        <w:numPr>
          <w:ilvl w:val="0"/>
          <w:numId w:val="8"/>
        </w:numPr>
        <w:jc w:val="both"/>
        <w:rPr>
          <w:rFonts w:ascii="Georgia" w:eastAsia="Times New Roman" w:hAnsi="Georgia" w:cs="Times New Roman"/>
          <w:lang w:val="es-ES" w:eastAsia="es-CR"/>
        </w:rPr>
      </w:pPr>
      <w:r>
        <w:rPr>
          <w:rFonts w:ascii="Georgia" w:eastAsia="Times New Roman" w:hAnsi="Georgia" w:cs="Times New Roman"/>
          <w:lang w:val="es-ES" w:eastAsia="es-CR"/>
        </w:rPr>
        <w:t>Costos por préstamos.</w:t>
      </w:r>
    </w:p>
    <w:p w14:paraId="7BA7A3D6" w14:textId="77777777" w:rsidR="00902979" w:rsidRDefault="00902979" w:rsidP="00902979">
      <w:pPr>
        <w:pStyle w:val="Default"/>
        <w:jc w:val="both"/>
        <w:rPr>
          <w:rFonts w:ascii="Georgia" w:eastAsia="Times New Roman" w:hAnsi="Georgia" w:cs="Times New Roman"/>
          <w:lang w:val="es-ES" w:eastAsia="es-CR"/>
        </w:rPr>
      </w:pPr>
    </w:p>
    <w:p w14:paraId="60BE5B35" w14:textId="2A9F7E09" w:rsidR="00E87B33" w:rsidRDefault="00C15110" w:rsidP="004F1071">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Es importante mencionar que, respecto a la medición del costo, si el pago se prorroga más allá de los plazos normales de crédito -aquí podríamos pensar en que los términos comerciales de una factura 30-45 días-, el costo será el valor presente de todos los pagos futuros.</w:t>
      </w:r>
    </w:p>
    <w:p w14:paraId="673D8F3F" w14:textId="77777777" w:rsidR="00C15110" w:rsidRDefault="00C15110" w:rsidP="004F1071">
      <w:pPr>
        <w:pStyle w:val="Default"/>
        <w:jc w:val="both"/>
        <w:rPr>
          <w:rFonts w:ascii="Georgia" w:eastAsia="Times New Roman" w:hAnsi="Georgia" w:cs="Times New Roman"/>
          <w:lang w:val="es-ES" w:eastAsia="es-CR"/>
        </w:rPr>
      </w:pPr>
    </w:p>
    <w:p w14:paraId="19357965" w14:textId="7F6E43EC" w:rsidR="005647AD" w:rsidRDefault="00C15110" w:rsidP="004F1071">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En cuanto a las permutas de activos, es posible que una entidad adquiera PPE a cambio de activos no monetarios o en combinación de algunos que son monetarios y que no lo son</w:t>
      </w:r>
      <w:r w:rsidR="00B633B8">
        <w:rPr>
          <w:rFonts w:ascii="Georgia" w:eastAsia="Times New Roman" w:hAnsi="Georgia" w:cs="Times New Roman"/>
          <w:lang w:val="es-ES" w:eastAsia="es-CR"/>
        </w:rPr>
        <w:t>, entonces la medición sería el valor razonable de los activos recibidos, siempre y cuando la transacción no tenga carácter comercial y que el valor razonable o el valor del activo recibido puedan medirse con fiabilidad, estos casos el valor en libros del activo entregado será el valor de adquisición del nuevo activo.</w:t>
      </w:r>
      <w:r>
        <w:rPr>
          <w:rFonts w:ascii="Georgia" w:eastAsia="Times New Roman" w:hAnsi="Georgia" w:cs="Times New Roman"/>
          <w:lang w:val="es-ES" w:eastAsia="es-CR"/>
        </w:rPr>
        <w:t xml:space="preserve"> </w:t>
      </w:r>
    </w:p>
    <w:p w14:paraId="4430A760" w14:textId="1991E46B" w:rsidR="00B633B8" w:rsidRDefault="00B633B8" w:rsidP="004F1071">
      <w:pPr>
        <w:pStyle w:val="Default"/>
        <w:jc w:val="both"/>
        <w:rPr>
          <w:rFonts w:ascii="Georgia" w:eastAsia="Times New Roman" w:hAnsi="Georgia" w:cs="Times New Roman"/>
          <w:lang w:val="es-ES" w:eastAsia="es-CR"/>
        </w:rPr>
      </w:pPr>
    </w:p>
    <w:p w14:paraId="4EFA4A74" w14:textId="6ACADCE1" w:rsidR="009B4A82" w:rsidRDefault="009863E2" w:rsidP="00681188">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lastRenderedPageBreak/>
        <w:t xml:space="preserve"> </w:t>
      </w:r>
    </w:p>
    <w:p w14:paraId="09A3C1B9" w14:textId="74F7D4DF" w:rsidR="009863E2" w:rsidRPr="009863E2" w:rsidRDefault="009863E2" w:rsidP="009863E2">
      <w:pPr>
        <w:pStyle w:val="Default"/>
        <w:numPr>
          <w:ilvl w:val="0"/>
          <w:numId w:val="3"/>
        </w:numPr>
        <w:jc w:val="both"/>
        <w:rPr>
          <w:rFonts w:ascii="Georgia" w:eastAsia="Times New Roman" w:hAnsi="Georgia" w:cs="Times New Roman"/>
          <w:b/>
          <w:bCs/>
          <w:lang w:val="es-ES" w:eastAsia="es-CR"/>
        </w:rPr>
      </w:pPr>
      <w:r w:rsidRPr="009863E2">
        <w:rPr>
          <w:rFonts w:ascii="Georgia" w:eastAsia="Times New Roman" w:hAnsi="Georgia" w:cs="Times New Roman"/>
          <w:b/>
          <w:bCs/>
          <w:lang w:val="es-ES" w:eastAsia="es-CR"/>
        </w:rPr>
        <w:t xml:space="preserve">Tratamiento </w:t>
      </w:r>
      <w:r>
        <w:rPr>
          <w:rFonts w:ascii="Georgia" w:eastAsia="Times New Roman" w:hAnsi="Georgia" w:cs="Times New Roman"/>
          <w:b/>
          <w:bCs/>
          <w:lang w:val="es-ES" w:eastAsia="es-CR"/>
        </w:rPr>
        <w:t>tributario</w:t>
      </w:r>
      <w:r w:rsidRPr="009863E2">
        <w:rPr>
          <w:rFonts w:ascii="Georgia" w:eastAsia="Times New Roman" w:hAnsi="Georgia" w:cs="Times New Roman"/>
          <w:b/>
          <w:bCs/>
          <w:lang w:val="es-ES" w:eastAsia="es-CR"/>
        </w:rPr>
        <w:t xml:space="preserve"> </w:t>
      </w:r>
    </w:p>
    <w:p w14:paraId="363F70BA" w14:textId="6524B08F" w:rsidR="009B4A82" w:rsidRDefault="009B4A82" w:rsidP="00681188">
      <w:pPr>
        <w:pStyle w:val="Default"/>
        <w:jc w:val="both"/>
        <w:rPr>
          <w:rFonts w:ascii="Georgia" w:eastAsia="Times New Roman" w:hAnsi="Georgia" w:cs="Times New Roman"/>
          <w:lang w:val="es-ES" w:eastAsia="es-CR"/>
        </w:rPr>
      </w:pPr>
    </w:p>
    <w:p w14:paraId="43336A5A" w14:textId="01B55C84" w:rsidR="006B0E19" w:rsidRDefault="00B633B8"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En primera instancia para efectos tributarios y para los contribuyentes que apliquen las NIIF Pymes se deberían seguir las reglas del marco normativo de la transacción, ahí donde la norma tributaria no lo limite o enuncie un tratamiento diferente que el contable.</w:t>
      </w:r>
    </w:p>
    <w:p w14:paraId="25AAEFD3" w14:textId="29BF2A27" w:rsidR="00B633B8" w:rsidRDefault="00B633B8" w:rsidP="0038131C">
      <w:pPr>
        <w:pStyle w:val="Default"/>
        <w:jc w:val="both"/>
        <w:rPr>
          <w:rFonts w:ascii="Georgia" w:eastAsia="Times New Roman" w:hAnsi="Georgia" w:cs="Times New Roman"/>
          <w:lang w:val="es-ES" w:eastAsia="es-CR"/>
        </w:rPr>
      </w:pPr>
    </w:p>
    <w:p w14:paraId="035451D1" w14:textId="2DA8AE2C" w:rsidR="00B633B8" w:rsidRDefault="00DE6603"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Teniendo claro </w:t>
      </w:r>
      <w:r w:rsidR="00B633B8">
        <w:rPr>
          <w:rFonts w:ascii="Georgia" w:eastAsia="Times New Roman" w:hAnsi="Georgia" w:cs="Times New Roman"/>
          <w:lang w:val="es-ES" w:eastAsia="es-CR"/>
        </w:rPr>
        <w:t>que las reglas contables deben aplicarse</w:t>
      </w:r>
      <w:r>
        <w:rPr>
          <w:rFonts w:ascii="Georgia" w:eastAsia="Times New Roman" w:hAnsi="Georgia" w:cs="Times New Roman"/>
          <w:lang w:val="es-ES" w:eastAsia="es-CR"/>
        </w:rPr>
        <w:t>,</w:t>
      </w:r>
      <w:r w:rsidR="00B633B8">
        <w:rPr>
          <w:rFonts w:ascii="Georgia" w:eastAsia="Times New Roman" w:hAnsi="Georgia" w:cs="Times New Roman"/>
          <w:lang w:val="es-ES" w:eastAsia="es-CR"/>
        </w:rPr>
        <w:t xml:space="preserve"> podemos disertar sobre algunos elementos que pueden llamar la atención</w:t>
      </w:r>
      <w:r>
        <w:rPr>
          <w:rFonts w:ascii="Georgia" w:eastAsia="Times New Roman" w:hAnsi="Georgia" w:cs="Times New Roman"/>
          <w:lang w:val="es-ES" w:eastAsia="es-CR"/>
        </w:rPr>
        <w:t xml:space="preserve"> respecto a la norma tributaria.</w:t>
      </w:r>
    </w:p>
    <w:p w14:paraId="3B2EA055" w14:textId="06C9A843" w:rsidR="00DE6603" w:rsidRDefault="00DE6603" w:rsidP="0038131C">
      <w:pPr>
        <w:pStyle w:val="Default"/>
        <w:jc w:val="both"/>
        <w:rPr>
          <w:rFonts w:ascii="Georgia" w:eastAsia="Times New Roman" w:hAnsi="Georgia" w:cs="Times New Roman"/>
          <w:lang w:val="es-ES" w:eastAsia="es-CR"/>
        </w:rPr>
      </w:pPr>
    </w:p>
    <w:p w14:paraId="0148BB7B" w14:textId="5EC84793" w:rsidR="00DE6603" w:rsidRDefault="00DE6603"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En el caso del reconocimiento y los requisitos para registrar un desembolso como PPE, </w:t>
      </w:r>
      <w:r w:rsidR="003A3C79">
        <w:rPr>
          <w:rFonts w:ascii="Georgia" w:eastAsia="Times New Roman" w:hAnsi="Georgia" w:cs="Times New Roman"/>
          <w:lang w:val="es-ES" w:eastAsia="es-CR"/>
        </w:rPr>
        <w:t>indica</w:t>
      </w:r>
      <w:r>
        <w:rPr>
          <w:rFonts w:ascii="Georgia" w:eastAsia="Times New Roman" w:hAnsi="Georgia" w:cs="Times New Roman"/>
          <w:lang w:val="es-ES" w:eastAsia="es-CR"/>
        </w:rPr>
        <w:t xml:space="preserve"> la norma que deberá obtener beneficios económicos futuros, del cual no se establece un período definido de tiempo, aquí podríamos pensar que un activo duradero sería aquel que se pueda utilizar en un periodo de tiempo más allá de los doce meses, entre otros, maquinaria, mobiliario y equipo, edificios</w:t>
      </w:r>
      <w:r w:rsidR="003A4260">
        <w:rPr>
          <w:rFonts w:ascii="Georgia" w:eastAsia="Times New Roman" w:hAnsi="Georgia" w:cs="Times New Roman"/>
          <w:lang w:val="es-ES" w:eastAsia="es-CR"/>
        </w:rPr>
        <w:t>. L</w:t>
      </w:r>
      <w:r>
        <w:rPr>
          <w:rFonts w:ascii="Georgia" w:eastAsia="Times New Roman" w:hAnsi="Georgia" w:cs="Times New Roman"/>
          <w:lang w:val="es-ES" w:eastAsia="es-CR"/>
        </w:rPr>
        <w:t>os que podríamos decir que son de corta duración, insumos de oficina, de limpieza</w:t>
      </w:r>
      <w:r w:rsidR="003A3C79">
        <w:rPr>
          <w:rFonts w:ascii="Georgia" w:eastAsia="Times New Roman" w:hAnsi="Georgia" w:cs="Times New Roman"/>
          <w:lang w:val="es-ES" w:eastAsia="es-CR"/>
        </w:rPr>
        <w:t>, herramientas; importante señalar que la norma no menciona o define un valor en unidades monetarias, por lo que un desembolso significativo que no cumpla con los requerimientos podría verse como un gasto independientemente del monto.</w:t>
      </w:r>
    </w:p>
    <w:p w14:paraId="1BA33D89" w14:textId="607C6511" w:rsidR="003A3C79" w:rsidRDefault="003A3C79" w:rsidP="0038131C">
      <w:pPr>
        <w:pStyle w:val="Default"/>
        <w:jc w:val="both"/>
        <w:rPr>
          <w:rFonts w:ascii="Georgia" w:eastAsia="Times New Roman" w:hAnsi="Georgia" w:cs="Times New Roman"/>
          <w:lang w:val="es-ES" w:eastAsia="es-CR"/>
        </w:rPr>
      </w:pPr>
    </w:p>
    <w:p w14:paraId="1F3E3523" w14:textId="09BEC843" w:rsidR="003A3C79" w:rsidRDefault="003A3C79"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Recordemos respecto al tema del valor de los activos que el Anexo del RLISR delimita en un 25% de un salario base como parámetro para considerar un desembolso como activo, si es más que el 25% será activo sujeto a depreciación, los menores serán gasto.</w:t>
      </w:r>
    </w:p>
    <w:p w14:paraId="771574F3" w14:textId="0D3488DB" w:rsidR="003A3C79" w:rsidRDefault="003A3C79" w:rsidP="0038131C">
      <w:pPr>
        <w:pStyle w:val="Default"/>
        <w:jc w:val="both"/>
        <w:rPr>
          <w:rFonts w:ascii="Georgia" w:eastAsia="Times New Roman" w:hAnsi="Georgia" w:cs="Times New Roman"/>
          <w:lang w:val="es-ES" w:eastAsia="es-CR"/>
        </w:rPr>
      </w:pPr>
    </w:p>
    <w:p w14:paraId="3372E432" w14:textId="57791DBC" w:rsidR="003A3C79" w:rsidRDefault="003A3C79"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Sobre la identificabilidad del costo del activo es claro decir que para efectos tributarios deberá existir comprobante electrónico de la adquisición en el caso de compras locales y en el caso de importaciones la factura del proveedor y </w:t>
      </w:r>
      <w:r w:rsidR="003A4260">
        <w:rPr>
          <w:rFonts w:ascii="Georgia" w:eastAsia="Times New Roman" w:hAnsi="Georgia" w:cs="Times New Roman"/>
          <w:lang w:val="es-ES" w:eastAsia="es-CR"/>
        </w:rPr>
        <w:t xml:space="preserve">la declaración única aduanera </w:t>
      </w:r>
      <w:r>
        <w:rPr>
          <w:rFonts w:ascii="Georgia" w:eastAsia="Times New Roman" w:hAnsi="Georgia" w:cs="Times New Roman"/>
          <w:lang w:val="es-ES" w:eastAsia="es-CR"/>
        </w:rPr>
        <w:t>en la internación.</w:t>
      </w:r>
    </w:p>
    <w:p w14:paraId="7F960E11" w14:textId="3AA69245" w:rsidR="003A3C79" w:rsidRDefault="003A3C79" w:rsidP="0038131C">
      <w:pPr>
        <w:pStyle w:val="Default"/>
        <w:jc w:val="both"/>
        <w:rPr>
          <w:rFonts w:ascii="Georgia" w:eastAsia="Times New Roman" w:hAnsi="Georgia" w:cs="Times New Roman"/>
          <w:lang w:val="es-ES" w:eastAsia="es-CR"/>
        </w:rPr>
      </w:pPr>
    </w:p>
    <w:p w14:paraId="234630B8" w14:textId="367DF194" w:rsidR="003A3C79" w:rsidRDefault="003A3C79"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Si bien para efectos contables </w:t>
      </w:r>
      <w:r w:rsidR="007F5E9B">
        <w:rPr>
          <w:rFonts w:ascii="Georgia" w:eastAsia="Times New Roman" w:hAnsi="Georgia" w:cs="Times New Roman"/>
          <w:lang w:val="es-ES" w:eastAsia="es-CR"/>
        </w:rPr>
        <w:t>podría</w:t>
      </w:r>
      <w:r w:rsidR="006251A2">
        <w:rPr>
          <w:rFonts w:ascii="Georgia" w:eastAsia="Times New Roman" w:hAnsi="Georgia" w:cs="Times New Roman"/>
          <w:lang w:val="es-ES" w:eastAsia="es-CR"/>
        </w:rPr>
        <w:t xml:space="preserve">n existir </w:t>
      </w:r>
      <w:r>
        <w:rPr>
          <w:rFonts w:ascii="Georgia" w:eastAsia="Times New Roman" w:hAnsi="Georgia" w:cs="Times New Roman"/>
          <w:lang w:val="es-ES" w:eastAsia="es-CR"/>
        </w:rPr>
        <w:t>otras pruebas</w:t>
      </w:r>
      <w:r w:rsidR="007F5E9B">
        <w:rPr>
          <w:rFonts w:ascii="Georgia" w:eastAsia="Times New Roman" w:hAnsi="Georgia" w:cs="Times New Roman"/>
          <w:lang w:val="es-ES" w:eastAsia="es-CR"/>
        </w:rPr>
        <w:t xml:space="preserve"> para justificar el costo</w:t>
      </w:r>
      <w:r w:rsidR="006251A2">
        <w:rPr>
          <w:rFonts w:ascii="Georgia" w:eastAsia="Times New Roman" w:hAnsi="Georgia" w:cs="Times New Roman"/>
          <w:lang w:val="es-ES" w:eastAsia="es-CR"/>
        </w:rPr>
        <w:t>,</w:t>
      </w:r>
      <w:r w:rsidR="007F5E9B">
        <w:rPr>
          <w:rFonts w:ascii="Georgia" w:eastAsia="Times New Roman" w:hAnsi="Georgia" w:cs="Times New Roman"/>
          <w:lang w:val="es-ES" w:eastAsia="es-CR"/>
        </w:rPr>
        <w:t xml:space="preserve"> </w:t>
      </w:r>
      <w:r w:rsidR="003A4260">
        <w:rPr>
          <w:rFonts w:ascii="Georgia" w:eastAsia="Times New Roman" w:hAnsi="Georgia" w:cs="Times New Roman"/>
          <w:lang w:val="es-ES" w:eastAsia="es-CR"/>
        </w:rPr>
        <w:t xml:space="preserve">tales </w:t>
      </w:r>
      <w:r w:rsidR="007F5E9B">
        <w:rPr>
          <w:rFonts w:ascii="Georgia" w:eastAsia="Times New Roman" w:hAnsi="Georgia" w:cs="Times New Roman"/>
          <w:lang w:val="es-ES" w:eastAsia="es-CR"/>
        </w:rPr>
        <w:t>como transferencias bancarias</w:t>
      </w:r>
      <w:r w:rsidR="006251A2">
        <w:rPr>
          <w:rFonts w:ascii="Georgia" w:eastAsia="Times New Roman" w:hAnsi="Georgia" w:cs="Times New Roman"/>
          <w:lang w:val="es-ES" w:eastAsia="es-CR"/>
        </w:rPr>
        <w:t xml:space="preserve"> o contratos</w:t>
      </w:r>
      <w:r>
        <w:rPr>
          <w:rFonts w:ascii="Georgia" w:eastAsia="Times New Roman" w:hAnsi="Georgia" w:cs="Times New Roman"/>
          <w:lang w:val="es-ES" w:eastAsia="es-CR"/>
        </w:rPr>
        <w:t xml:space="preserve">, para efectos tributarios y en cumplimiento de los aspectos formales que permean la LISR podrá encontrarse resistencia </w:t>
      </w:r>
      <w:r w:rsidR="007F5E9B">
        <w:rPr>
          <w:rFonts w:ascii="Georgia" w:eastAsia="Times New Roman" w:hAnsi="Georgia" w:cs="Times New Roman"/>
          <w:lang w:val="es-ES" w:eastAsia="es-CR"/>
        </w:rPr>
        <w:t xml:space="preserve">de parte de </w:t>
      </w:r>
      <w:r>
        <w:rPr>
          <w:rFonts w:ascii="Georgia" w:eastAsia="Times New Roman" w:hAnsi="Georgia" w:cs="Times New Roman"/>
          <w:lang w:val="es-ES" w:eastAsia="es-CR"/>
        </w:rPr>
        <w:t>la Autoridad Tributaria</w:t>
      </w:r>
      <w:r w:rsidR="00FE414D">
        <w:rPr>
          <w:rFonts w:ascii="Georgia" w:eastAsia="Times New Roman" w:hAnsi="Georgia" w:cs="Times New Roman"/>
          <w:lang w:val="es-ES" w:eastAsia="es-CR"/>
        </w:rPr>
        <w:t xml:space="preserve"> (AT)</w:t>
      </w:r>
      <w:r>
        <w:rPr>
          <w:rFonts w:ascii="Georgia" w:eastAsia="Times New Roman" w:hAnsi="Georgia" w:cs="Times New Roman"/>
          <w:lang w:val="es-ES" w:eastAsia="es-CR"/>
        </w:rPr>
        <w:t xml:space="preserve"> para </w:t>
      </w:r>
      <w:r w:rsidR="007F5E9B">
        <w:rPr>
          <w:rFonts w:ascii="Georgia" w:eastAsia="Times New Roman" w:hAnsi="Georgia" w:cs="Times New Roman"/>
          <w:lang w:val="es-ES" w:eastAsia="es-CR"/>
        </w:rPr>
        <w:t>aceptar la existencia del</w:t>
      </w:r>
      <w:r>
        <w:rPr>
          <w:rFonts w:ascii="Georgia" w:eastAsia="Times New Roman" w:hAnsi="Georgia" w:cs="Times New Roman"/>
          <w:lang w:val="es-ES" w:eastAsia="es-CR"/>
        </w:rPr>
        <w:t xml:space="preserve"> activo a falta de los documentos que he comentado</w:t>
      </w:r>
      <w:r w:rsidR="006251A2">
        <w:rPr>
          <w:rFonts w:ascii="Georgia" w:eastAsia="Times New Roman" w:hAnsi="Georgia" w:cs="Times New Roman"/>
          <w:lang w:val="es-ES" w:eastAsia="es-CR"/>
        </w:rPr>
        <w:t xml:space="preserve"> en el párrafo supra</w:t>
      </w:r>
      <w:r>
        <w:rPr>
          <w:rFonts w:ascii="Georgia" w:eastAsia="Times New Roman" w:hAnsi="Georgia" w:cs="Times New Roman"/>
          <w:lang w:val="es-ES" w:eastAsia="es-CR"/>
        </w:rPr>
        <w:t>.</w:t>
      </w:r>
    </w:p>
    <w:p w14:paraId="2F669949" w14:textId="0E134716" w:rsidR="006251A2" w:rsidRDefault="006251A2" w:rsidP="0038131C">
      <w:pPr>
        <w:pStyle w:val="Default"/>
        <w:jc w:val="both"/>
        <w:rPr>
          <w:rFonts w:ascii="Georgia" w:eastAsia="Times New Roman" w:hAnsi="Georgia" w:cs="Times New Roman"/>
          <w:lang w:val="es-ES" w:eastAsia="es-CR"/>
        </w:rPr>
      </w:pPr>
    </w:p>
    <w:p w14:paraId="149AC800" w14:textId="1FB5031C" w:rsidR="006251A2" w:rsidRDefault="006251A2"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Con relación a </w:t>
      </w:r>
      <w:r w:rsidR="00FE414D">
        <w:rPr>
          <w:rFonts w:ascii="Georgia" w:eastAsia="Times New Roman" w:hAnsi="Georgia" w:cs="Times New Roman"/>
          <w:lang w:val="es-ES" w:eastAsia="es-CR"/>
        </w:rPr>
        <w:t>las piezas</w:t>
      </w:r>
      <w:r>
        <w:rPr>
          <w:rFonts w:ascii="Georgia" w:eastAsia="Times New Roman" w:hAnsi="Georgia" w:cs="Times New Roman"/>
          <w:lang w:val="es-ES" w:eastAsia="es-CR"/>
        </w:rPr>
        <w:t xml:space="preserve"> de repuesto o </w:t>
      </w:r>
      <w:r w:rsidR="00FE414D">
        <w:rPr>
          <w:rFonts w:ascii="Georgia" w:eastAsia="Times New Roman" w:hAnsi="Georgia" w:cs="Times New Roman"/>
          <w:lang w:val="es-ES" w:eastAsia="es-CR"/>
        </w:rPr>
        <w:t>insumos para maquinaria, se deriva que podrán ser gastos, pero cuando</w:t>
      </w:r>
      <w:r w:rsidR="003A4260">
        <w:rPr>
          <w:rFonts w:ascii="Georgia" w:eastAsia="Times New Roman" w:hAnsi="Georgia" w:cs="Times New Roman"/>
          <w:lang w:val="es-ES" w:eastAsia="es-CR"/>
        </w:rPr>
        <w:t xml:space="preserve"> estos</w:t>
      </w:r>
      <w:r w:rsidR="00FE414D">
        <w:rPr>
          <w:rFonts w:ascii="Georgia" w:eastAsia="Times New Roman" w:hAnsi="Georgia" w:cs="Times New Roman"/>
          <w:lang w:val="es-ES" w:eastAsia="es-CR"/>
        </w:rPr>
        <w:t xml:space="preserve"> sean consumidos, hasta tanto no se dé el uso se deberán registrar como inventarios.</w:t>
      </w:r>
    </w:p>
    <w:p w14:paraId="7F836F45" w14:textId="70509BF4" w:rsidR="00FE414D" w:rsidRDefault="00FE414D" w:rsidP="0038131C">
      <w:pPr>
        <w:pStyle w:val="Default"/>
        <w:jc w:val="both"/>
        <w:rPr>
          <w:rFonts w:ascii="Georgia" w:eastAsia="Times New Roman" w:hAnsi="Georgia" w:cs="Times New Roman"/>
          <w:lang w:val="es-ES" w:eastAsia="es-CR"/>
        </w:rPr>
      </w:pPr>
    </w:p>
    <w:p w14:paraId="5F7BE370" w14:textId="340DEA82" w:rsidR="00FE414D" w:rsidRDefault="00FE414D"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Respecto de las partes que requieren ser sustituidas en el activo principal, se deberá para efectos de dar de baja el activo sustituido y que estos sean considerados deducibles solicitar la autorización a la AT, de no ser así podría </w:t>
      </w:r>
      <w:r>
        <w:rPr>
          <w:rFonts w:ascii="Georgia" w:eastAsia="Times New Roman" w:hAnsi="Georgia" w:cs="Times New Roman"/>
          <w:lang w:val="es-ES" w:eastAsia="es-CR"/>
        </w:rPr>
        <w:lastRenderedPageBreak/>
        <w:t xml:space="preserve">darse un rechazo del gasto; además </w:t>
      </w:r>
      <w:r w:rsidR="003A4260">
        <w:rPr>
          <w:rFonts w:ascii="Georgia" w:eastAsia="Times New Roman" w:hAnsi="Georgia" w:cs="Times New Roman"/>
          <w:lang w:val="es-ES" w:eastAsia="es-CR"/>
        </w:rPr>
        <w:t>y</w:t>
      </w:r>
      <w:r>
        <w:rPr>
          <w:rFonts w:ascii="Georgia" w:eastAsia="Times New Roman" w:hAnsi="Georgia" w:cs="Times New Roman"/>
          <w:lang w:val="es-ES" w:eastAsia="es-CR"/>
        </w:rPr>
        <w:t xml:space="preserve"> no menos importante</w:t>
      </w:r>
      <w:r w:rsidR="003A4260">
        <w:rPr>
          <w:rFonts w:ascii="Georgia" w:eastAsia="Times New Roman" w:hAnsi="Georgia" w:cs="Times New Roman"/>
          <w:lang w:val="es-ES" w:eastAsia="es-CR"/>
        </w:rPr>
        <w:t>,</w:t>
      </w:r>
      <w:r>
        <w:rPr>
          <w:rFonts w:ascii="Georgia" w:eastAsia="Times New Roman" w:hAnsi="Georgia" w:cs="Times New Roman"/>
          <w:lang w:val="es-ES" w:eastAsia="es-CR"/>
        </w:rPr>
        <w:t xml:space="preserve"> establecer que el activo nuevo deberá contar también con las facturas electrónicas necesarias para la posterior depreciación.</w:t>
      </w:r>
    </w:p>
    <w:p w14:paraId="14EA501A" w14:textId="77777777" w:rsidR="003A4260" w:rsidRDefault="003A4260" w:rsidP="0038131C">
      <w:pPr>
        <w:pStyle w:val="Default"/>
        <w:jc w:val="both"/>
        <w:rPr>
          <w:rFonts w:ascii="Georgia" w:eastAsia="Times New Roman" w:hAnsi="Georgia" w:cs="Times New Roman"/>
          <w:lang w:val="es-ES" w:eastAsia="es-CR"/>
        </w:rPr>
      </w:pPr>
    </w:p>
    <w:p w14:paraId="4F6E245E" w14:textId="0B7378FB" w:rsidR="00B633B8" w:rsidRDefault="00FE414D"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En cuanto al requerimiento de separación de los activos terrenos y edificios, se encuentra relevante establecer que para efectos de posibles ganancias de capital por la venta de los activos, esta separación resulta necesaria ya que las reglas para determinar las ganancias de capital para terrenos no están definidas en la LISR aunque </w:t>
      </w:r>
      <w:r w:rsidR="003A4260">
        <w:rPr>
          <w:rFonts w:ascii="Georgia" w:eastAsia="Times New Roman" w:hAnsi="Georgia" w:cs="Times New Roman"/>
          <w:lang w:val="es-ES" w:eastAsia="es-CR"/>
        </w:rPr>
        <w:t>estén</w:t>
      </w:r>
      <w:r>
        <w:rPr>
          <w:rFonts w:ascii="Georgia" w:eastAsia="Times New Roman" w:hAnsi="Georgia" w:cs="Times New Roman"/>
          <w:lang w:val="es-ES" w:eastAsia="es-CR"/>
        </w:rPr>
        <w:t xml:space="preserve"> afectos a una actividad lucrativa, por lo que deberían seguir reglas de determinación según Capitulo XI; para los edificios</w:t>
      </w:r>
      <w:r w:rsidR="003A4260">
        <w:rPr>
          <w:rFonts w:ascii="Georgia" w:eastAsia="Times New Roman" w:hAnsi="Georgia" w:cs="Times New Roman"/>
          <w:lang w:val="es-ES" w:eastAsia="es-CR"/>
        </w:rPr>
        <w:t xml:space="preserve"> y demás activos depreciables,</w:t>
      </w:r>
      <w:r>
        <w:rPr>
          <w:rFonts w:ascii="Georgia" w:eastAsia="Times New Roman" w:hAnsi="Georgia" w:cs="Times New Roman"/>
          <w:lang w:val="es-ES" w:eastAsia="es-CR"/>
        </w:rPr>
        <w:t xml:space="preserve"> las reglas de determinación siempre han estado en el 8 f de la LISR por lo que s</w:t>
      </w:r>
      <w:r w:rsidR="003A4260">
        <w:rPr>
          <w:rFonts w:ascii="Georgia" w:eastAsia="Times New Roman" w:hAnsi="Georgia" w:cs="Times New Roman"/>
          <w:lang w:val="es-ES" w:eastAsia="es-CR"/>
        </w:rPr>
        <w:t>í</w:t>
      </w:r>
      <w:r>
        <w:rPr>
          <w:rFonts w:ascii="Georgia" w:eastAsia="Times New Roman" w:hAnsi="Georgia" w:cs="Times New Roman"/>
          <w:lang w:val="es-ES" w:eastAsia="es-CR"/>
        </w:rPr>
        <w:t xml:space="preserve"> deberían seguir aplicación de impuesto a utilidades con tarifa del 30%</w:t>
      </w:r>
      <w:r w:rsidR="003A4260">
        <w:rPr>
          <w:rFonts w:ascii="Georgia" w:eastAsia="Times New Roman" w:hAnsi="Georgia" w:cs="Times New Roman"/>
          <w:lang w:val="es-ES" w:eastAsia="es-CR"/>
        </w:rPr>
        <w:t xml:space="preserve"> si están afectos a un actividad lucrativa.</w:t>
      </w:r>
    </w:p>
    <w:p w14:paraId="2629EB36" w14:textId="001EF471" w:rsidR="00FE414D" w:rsidRDefault="00FE414D" w:rsidP="0038131C">
      <w:pPr>
        <w:pStyle w:val="Default"/>
        <w:jc w:val="both"/>
        <w:rPr>
          <w:rFonts w:ascii="Georgia" w:eastAsia="Times New Roman" w:hAnsi="Georgia" w:cs="Times New Roman"/>
          <w:lang w:val="es-ES" w:eastAsia="es-CR"/>
        </w:rPr>
      </w:pPr>
    </w:p>
    <w:p w14:paraId="3E945570" w14:textId="6B5CA3BB" w:rsidR="00FE414D" w:rsidRDefault="00FE414D"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La interpretación anterior para efectos de la ganancia del terreno podría encontrar rechazo por parte de la AT</w:t>
      </w:r>
      <w:r w:rsidR="003A4260">
        <w:rPr>
          <w:rFonts w:ascii="Georgia" w:eastAsia="Times New Roman" w:hAnsi="Georgia" w:cs="Times New Roman"/>
          <w:lang w:val="es-ES" w:eastAsia="es-CR"/>
        </w:rPr>
        <w:t>,</w:t>
      </w:r>
      <w:r>
        <w:rPr>
          <w:rFonts w:ascii="Georgia" w:eastAsia="Times New Roman" w:hAnsi="Georgia" w:cs="Times New Roman"/>
          <w:lang w:val="es-ES" w:eastAsia="es-CR"/>
        </w:rPr>
        <w:t xml:space="preserve"> siendo que </w:t>
      </w:r>
      <w:r w:rsidR="00890AD2">
        <w:rPr>
          <w:rFonts w:ascii="Georgia" w:eastAsia="Times New Roman" w:hAnsi="Georgia" w:cs="Times New Roman"/>
          <w:lang w:val="es-ES" w:eastAsia="es-CR"/>
        </w:rPr>
        <w:t xml:space="preserve">se podría alegar que el bien simplemente está afecto a la actividad lucrativa sujeto al impuesto de utilidades, pero otro punto de defensa sólida sería que una ganancia de este tipo de activos no estuvo sujeta antes en las normas tributarias, de ahí que el vacío en la determinación de estas reglas se ve subsanado por el </w:t>
      </w:r>
      <w:r w:rsidR="003A4260">
        <w:rPr>
          <w:rFonts w:ascii="Georgia" w:eastAsia="Times New Roman" w:hAnsi="Georgia" w:cs="Times New Roman"/>
          <w:lang w:val="es-ES" w:eastAsia="es-CR"/>
        </w:rPr>
        <w:t>artículo</w:t>
      </w:r>
      <w:r w:rsidR="00890AD2">
        <w:rPr>
          <w:rFonts w:ascii="Georgia" w:eastAsia="Times New Roman" w:hAnsi="Georgia" w:cs="Times New Roman"/>
          <w:lang w:val="es-ES" w:eastAsia="es-CR"/>
        </w:rPr>
        <w:t xml:space="preserve"> 27 del Capitulo XI</w:t>
      </w:r>
      <w:r w:rsidR="003A4260">
        <w:rPr>
          <w:rFonts w:ascii="Georgia" w:eastAsia="Times New Roman" w:hAnsi="Georgia" w:cs="Times New Roman"/>
          <w:lang w:val="es-ES" w:eastAsia="es-CR"/>
        </w:rPr>
        <w:t>,</w:t>
      </w:r>
      <w:r w:rsidR="00890AD2">
        <w:rPr>
          <w:rFonts w:ascii="Georgia" w:eastAsia="Times New Roman" w:hAnsi="Georgia" w:cs="Times New Roman"/>
          <w:lang w:val="es-ES" w:eastAsia="es-CR"/>
        </w:rPr>
        <w:t xml:space="preserve"> en el que se dice que las reglas de este régimen serán de aplicación si no hay reglas diferentes en el impuesto a las utilidades.</w:t>
      </w:r>
    </w:p>
    <w:p w14:paraId="3E7D6E44" w14:textId="6050A1B3" w:rsidR="0038131C" w:rsidRDefault="0038131C"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 </w:t>
      </w:r>
    </w:p>
    <w:p w14:paraId="10584345" w14:textId="06170D8A" w:rsidR="00615328" w:rsidRDefault="00615328"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Para efectos del reconocimiento inicial </w:t>
      </w:r>
      <w:r w:rsidR="00856AEB">
        <w:rPr>
          <w:rFonts w:ascii="Georgia" w:eastAsia="Times New Roman" w:hAnsi="Georgia" w:cs="Times New Roman"/>
          <w:lang w:val="es-ES" w:eastAsia="es-CR"/>
        </w:rPr>
        <w:t xml:space="preserve">se debe reiterar que para efectos contables podrían utilizarse otras formas de documentar el pago de un PPE, pero para efectos tributarios es </w:t>
      </w:r>
      <w:r w:rsidR="00716B4D">
        <w:rPr>
          <w:rFonts w:ascii="Georgia" w:eastAsia="Times New Roman" w:hAnsi="Georgia" w:cs="Times New Roman"/>
          <w:lang w:val="es-ES" w:eastAsia="es-CR"/>
        </w:rPr>
        <w:t>imperativo</w:t>
      </w:r>
      <w:r w:rsidR="00856AEB">
        <w:rPr>
          <w:rFonts w:ascii="Georgia" w:eastAsia="Times New Roman" w:hAnsi="Georgia" w:cs="Times New Roman"/>
          <w:lang w:val="es-ES" w:eastAsia="es-CR"/>
        </w:rPr>
        <w:t xml:space="preserve"> el requisito </w:t>
      </w:r>
      <w:r w:rsidR="00716B4D">
        <w:rPr>
          <w:rFonts w:ascii="Georgia" w:eastAsia="Times New Roman" w:hAnsi="Georgia" w:cs="Times New Roman"/>
          <w:lang w:val="es-ES" w:eastAsia="es-CR"/>
        </w:rPr>
        <w:t>de contar con comprobantes electrónicos autorizados.</w:t>
      </w:r>
    </w:p>
    <w:p w14:paraId="3D6F0D1F" w14:textId="68573B9F" w:rsidR="00716B4D" w:rsidRDefault="00716B4D" w:rsidP="0038131C">
      <w:pPr>
        <w:pStyle w:val="Default"/>
        <w:jc w:val="both"/>
        <w:rPr>
          <w:rFonts w:ascii="Georgia" w:eastAsia="Times New Roman" w:hAnsi="Georgia" w:cs="Times New Roman"/>
          <w:lang w:val="es-ES" w:eastAsia="es-CR"/>
        </w:rPr>
      </w:pPr>
    </w:p>
    <w:p w14:paraId="75972909" w14:textId="0D189068" w:rsidR="00716B4D" w:rsidRDefault="00716B4D"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Es necesario poner especial atención a desembolsos que podrían considerarse gastos, pero que la no norma contable no permite y se deben capitalizar, tales como los costos de emplazamiento, costos de transporte, desmantelamiento del activo anterior, es decir, es necesario determinar con precisión los costos involucrados en la construcción, traslado y ubicación del activo con el fin de considerarlos parte de la base de depreciación.</w:t>
      </w:r>
    </w:p>
    <w:p w14:paraId="02688D92" w14:textId="000BDED4" w:rsidR="00716B4D" w:rsidRDefault="00716B4D" w:rsidP="0038131C">
      <w:pPr>
        <w:pStyle w:val="Default"/>
        <w:jc w:val="both"/>
        <w:rPr>
          <w:rFonts w:ascii="Georgia" w:eastAsia="Times New Roman" w:hAnsi="Georgia" w:cs="Times New Roman"/>
          <w:lang w:val="es-ES" w:eastAsia="es-CR"/>
        </w:rPr>
      </w:pPr>
    </w:p>
    <w:p w14:paraId="627014C0" w14:textId="64E37698" w:rsidR="00716B4D" w:rsidRDefault="00716B4D"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El tratamiento de los préstamos que generan pagos de intereses será de </w:t>
      </w:r>
      <w:r w:rsidR="00D15FA2">
        <w:rPr>
          <w:rFonts w:ascii="Georgia" w:eastAsia="Times New Roman" w:hAnsi="Georgia" w:cs="Times New Roman"/>
          <w:lang w:val="es-ES" w:eastAsia="es-CR"/>
        </w:rPr>
        <w:t>conformidad con</w:t>
      </w:r>
      <w:r>
        <w:rPr>
          <w:rFonts w:ascii="Georgia" w:eastAsia="Times New Roman" w:hAnsi="Georgia" w:cs="Times New Roman"/>
          <w:lang w:val="es-ES" w:eastAsia="es-CR"/>
        </w:rPr>
        <w:t xml:space="preserve"> la NPPE un registro </w:t>
      </w:r>
      <w:r w:rsidR="003A4260">
        <w:rPr>
          <w:rFonts w:ascii="Georgia" w:eastAsia="Times New Roman" w:hAnsi="Georgia" w:cs="Times New Roman"/>
          <w:lang w:val="es-ES" w:eastAsia="es-CR"/>
        </w:rPr>
        <w:t xml:space="preserve"> de gasto financiero </w:t>
      </w:r>
      <w:r>
        <w:rPr>
          <w:rFonts w:ascii="Georgia" w:eastAsia="Times New Roman" w:hAnsi="Georgia" w:cs="Times New Roman"/>
          <w:lang w:val="es-ES" w:eastAsia="es-CR"/>
        </w:rPr>
        <w:t xml:space="preserve">en el resultado del periodo, recordemos que la NIC </w:t>
      </w:r>
      <w:r w:rsidR="00D15FA2">
        <w:rPr>
          <w:rFonts w:ascii="Georgia" w:eastAsia="Times New Roman" w:hAnsi="Georgia" w:cs="Times New Roman"/>
          <w:lang w:val="es-ES" w:eastAsia="es-CR"/>
        </w:rPr>
        <w:t>23 de la NIIF completa, define que si un activo requiere de un periodo sustancial para estar listo para su utilización o para la venta</w:t>
      </w:r>
      <w:r w:rsidR="003A4260">
        <w:rPr>
          <w:rFonts w:ascii="Georgia" w:eastAsia="Times New Roman" w:hAnsi="Georgia" w:cs="Times New Roman"/>
          <w:lang w:val="es-ES" w:eastAsia="es-CR"/>
        </w:rPr>
        <w:t xml:space="preserve"> -activo apto-</w:t>
      </w:r>
      <w:r w:rsidR="00D15FA2">
        <w:rPr>
          <w:rFonts w:ascii="Georgia" w:eastAsia="Times New Roman" w:hAnsi="Georgia" w:cs="Times New Roman"/>
          <w:lang w:val="es-ES" w:eastAsia="es-CR"/>
        </w:rPr>
        <w:t>, si tiene una deuda asociada que genera carga financiera, deberá entonces hasta que el activo esté listo para su utilización capitalizar al valor del activo los gastos financieros.</w:t>
      </w:r>
    </w:p>
    <w:p w14:paraId="24CC88CD" w14:textId="55A8F31E" w:rsidR="00075F77" w:rsidRDefault="00075F77" w:rsidP="0038131C">
      <w:pPr>
        <w:pStyle w:val="Default"/>
        <w:jc w:val="both"/>
        <w:rPr>
          <w:rFonts w:ascii="Georgia" w:eastAsia="Times New Roman" w:hAnsi="Georgia" w:cs="Times New Roman"/>
          <w:lang w:val="es-ES" w:eastAsia="es-CR"/>
        </w:rPr>
      </w:pPr>
    </w:p>
    <w:p w14:paraId="4D83AD26" w14:textId="55AE96E7" w:rsidR="00075F77" w:rsidRDefault="00075F77"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Para efectos de registrar PPE que deberá ser pagado en un plazo más allá de los que son usualmente aceptados en términos comerciales, el valor del activo será el valor presente de los flujos de efectivo, pero en cuanto al aspecto </w:t>
      </w:r>
      <w:r>
        <w:rPr>
          <w:rFonts w:ascii="Georgia" w:eastAsia="Times New Roman" w:hAnsi="Georgia" w:cs="Times New Roman"/>
          <w:lang w:val="es-ES" w:eastAsia="es-CR"/>
        </w:rPr>
        <w:lastRenderedPageBreak/>
        <w:t>tributario, el valor aceptado como base de depreciación será el valor realmente pagado</w:t>
      </w:r>
      <w:r w:rsidR="00427458">
        <w:rPr>
          <w:rFonts w:ascii="Georgia" w:eastAsia="Times New Roman" w:hAnsi="Georgia" w:cs="Times New Roman"/>
          <w:lang w:val="es-ES" w:eastAsia="es-CR"/>
        </w:rPr>
        <w:t xml:space="preserve"> y no el financiero.</w:t>
      </w:r>
    </w:p>
    <w:p w14:paraId="092BF9C2" w14:textId="771946F0" w:rsidR="00427458" w:rsidRDefault="00427458" w:rsidP="0038131C">
      <w:pPr>
        <w:pStyle w:val="Default"/>
        <w:jc w:val="both"/>
        <w:rPr>
          <w:rFonts w:ascii="Georgia" w:eastAsia="Times New Roman" w:hAnsi="Georgia" w:cs="Times New Roman"/>
          <w:lang w:val="es-ES" w:eastAsia="es-CR"/>
        </w:rPr>
      </w:pPr>
    </w:p>
    <w:p w14:paraId="1FC35F9F" w14:textId="2917E5D9" w:rsidR="00427458" w:rsidRDefault="00427458"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 xml:space="preserve">Por último y según los tratamientos contables revisados, las permutas podrían encontrar cuestionamientos si no son documentadas adecuadamente, pensemos en el traspaso de activos entre compañías relacionadas que simplemente se transfieren, ¿será necesario emitir factura? ¿Cuál sería el valor de registro? La norma establece que será el valor razonable, pero como hemos comentado anteriormente la base tributaria aceptada es el costo real pagado por el activo, de ahí que un valor diferente en la medición de esta transacción  podría ser cuestionada, al </w:t>
      </w:r>
      <w:r w:rsidR="00A81FE8">
        <w:rPr>
          <w:rFonts w:ascii="Georgia" w:eastAsia="Times New Roman" w:hAnsi="Georgia" w:cs="Times New Roman"/>
          <w:lang w:val="es-ES" w:eastAsia="es-CR"/>
        </w:rPr>
        <w:t>límite</w:t>
      </w:r>
      <w:r>
        <w:rPr>
          <w:rFonts w:ascii="Georgia" w:eastAsia="Times New Roman" w:hAnsi="Georgia" w:cs="Times New Roman"/>
          <w:lang w:val="es-ES" w:eastAsia="es-CR"/>
        </w:rPr>
        <w:t xml:space="preserve"> </w:t>
      </w:r>
      <w:bookmarkStart w:id="1" w:name="_GoBack"/>
      <w:bookmarkEnd w:id="1"/>
      <w:r>
        <w:rPr>
          <w:rFonts w:ascii="Georgia" w:eastAsia="Times New Roman" w:hAnsi="Georgia" w:cs="Times New Roman"/>
          <w:lang w:val="es-ES" w:eastAsia="es-CR"/>
        </w:rPr>
        <w:t>la AT aceptaría el valor en libros que mantenía la compañía que entrega el activo y la que recibe seguiría computando la depreciación como si siempre lo hubiera tenido, este tratamiento podría tener concordancia con el tratamiento de reconocer el activo con su valor en libros si no es una transacción comercial según la norma contable.</w:t>
      </w:r>
    </w:p>
    <w:p w14:paraId="5CDCA454" w14:textId="17991930" w:rsidR="00427458" w:rsidRDefault="00427458" w:rsidP="0038131C">
      <w:pPr>
        <w:pStyle w:val="Default"/>
        <w:jc w:val="both"/>
        <w:rPr>
          <w:rFonts w:ascii="Georgia" w:eastAsia="Times New Roman" w:hAnsi="Georgia" w:cs="Times New Roman"/>
          <w:lang w:val="es-ES" w:eastAsia="es-CR"/>
        </w:rPr>
      </w:pPr>
    </w:p>
    <w:p w14:paraId="676804C7" w14:textId="7FF3D485" w:rsidR="00427458" w:rsidRDefault="00427458" w:rsidP="0038131C">
      <w:pPr>
        <w:pStyle w:val="Default"/>
        <w:jc w:val="both"/>
        <w:rPr>
          <w:rFonts w:ascii="Georgia" w:eastAsia="Times New Roman" w:hAnsi="Georgia" w:cs="Times New Roman"/>
          <w:lang w:val="es-ES" w:eastAsia="es-CR"/>
        </w:rPr>
      </w:pPr>
      <w:r>
        <w:rPr>
          <w:rFonts w:ascii="Georgia" w:eastAsia="Times New Roman" w:hAnsi="Georgia" w:cs="Times New Roman"/>
          <w:lang w:val="es-ES" w:eastAsia="es-CR"/>
        </w:rPr>
        <w:t>Sobre este último punto es posible que este tipo de transacciones deben ser revisadas bajo un enfoque de precios de transferencia o bien si hay una reorganización de por medio, aplicar reglas de neutralidad tributaria</w:t>
      </w:r>
      <w:r w:rsidR="00AF56F6">
        <w:rPr>
          <w:rFonts w:ascii="Georgia" w:eastAsia="Times New Roman" w:hAnsi="Georgia" w:cs="Times New Roman"/>
          <w:lang w:val="es-ES" w:eastAsia="es-CR"/>
        </w:rPr>
        <w:t xml:space="preserve"> según la nueva norma de la L</w:t>
      </w:r>
      <w:r w:rsidR="000A40CD">
        <w:rPr>
          <w:rFonts w:ascii="Georgia" w:eastAsia="Times New Roman" w:hAnsi="Georgia" w:cs="Times New Roman"/>
          <w:lang w:val="es-ES" w:eastAsia="es-CR"/>
        </w:rPr>
        <w:t>ey de Fortalecimiento</w:t>
      </w:r>
      <w:r>
        <w:rPr>
          <w:rFonts w:ascii="Georgia" w:eastAsia="Times New Roman" w:hAnsi="Georgia" w:cs="Times New Roman"/>
          <w:lang w:val="es-ES" w:eastAsia="es-CR"/>
        </w:rPr>
        <w:t>.</w:t>
      </w:r>
    </w:p>
    <w:sectPr w:rsidR="00427458" w:rsidSect="0072708A">
      <w:pgSz w:w="12240" w:h="15840"/>
      <w:pgMar w:top="1417" w:right="2175" w:bottom="1417"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C0A13"/>
    <w:multiLevelType w:val="hybridMultilevel"/>
    <w:tmpl w:val="74CAC99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146A534F"/>
    <w:multiLevelType w:val="hybridMultilevel"/>
    <w:tmpl w:val="C13A4B8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2D025CD3"/>
    <w:multiLevelType w:val="hybridMultilevel"/>
    <w:tmpl w:val="88F0C1F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266228C"/>
    <w:multiLevelType w:val="hybridMultilevel"/>
    <w:tmpl w:val="48E03C90"/>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40235B1"/>
    <w:multiLevelType w:val="hybridMultilevel"/>
    <w:tmpl w:val="05FE6192"/>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6A4A722B"/>
    <w:multiLevelType w:val="hybridMultilevel"/>
    <w:tmpl w:val="899A4F7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76B95B67"/>
    <w:multiLevelType w:val="multilevel"/>
    <w:tmpl w:val="C3A87E70"/>
    <w:lvl w:ilvl="0">
      <w:start w:val="2"/>
      <w:numFmt w:val="decimal"/>
      <w:pStyle w:val="Subtitutlo2"/>
      <w:lvlText w:val="%1."/>
      <w:lvlJc w:val="left"/>
      <w:pPr>
        <w:ind w:left="720" w:hanging="360"/>
      </w:pPr>
      <w:rPr>
        <w:rFonts w:hint="default"/>
        <w:lang w:val="es-CR"/>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lang w:val="es-ES"/>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77346855"/>
    <w:multiLevelType w:val="hybridMultilevel"/>
    <w:tmpl w:val="63B0AB3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7EEC014A"/>
    <w:multiLevelType w:val="hybridMultilevel"/>
    <w:tmpl w:val="9A60CE1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3"/>
  </w:num>
  <w:num w:numId="6">
    <w:abstractNumId w:val="2"/>
  </w:num>
  <w:num w:numId="7">
    <w:abstractNumId w:val="8"/>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DD9"/>
    <w:rsid w:val="00020038"/>
    <w:rsid w:val="00031953"/>
    <w:rsid w:val="00075F77"/>
    <w:rsid w:val="0009178A"/>
    <w:rsid w:val="000A40CD"/>
    <w:rsid w:val="000A72D1"/>
    <w:rsid w:val="000C7C42"/>
    <w:rsid w:val="00140B5C"/>
    <w:rsid w:val="0019052D"/>
    <w:rsid w:val="001A11EB"/>
    <w:rsid w:val="001A686B"/>
    <w:rsid w:val="001E1C7F"/>
    <w:rsid w:val="001E55D9"/>
    <w:rsid w:val="00236B09"/>
    <w:rsid w:val="0024176D"/>
    <w:rsid w:val="00262FA1"/>
    <w:rsid w:val="002F547D"/>
    <w:rsid w:val="00317597"/>
    <w:rsid w:val="00321D40"/>
    <w:rsid w:val="00361B76"/>
    <w:rsid w:val="0038131C"/>
    <w:rsid w:val="003A3C79"/>
    <w:rsid w:val="003A4260"/>
    <w:rsid w:val="003A71DF"/>
    <w:rsid w:val="00404291"/>
    <w:rsid w:val="00427458"/>
    <w:rsid w:val="00496F07"/>
    <w:rsid w:val="004F1071"/>
    <w:rsid w:val="0053299A"/>
    <w:rsid w:val="0054250E"/>
    <w:rsid w:val="00555CF2"/>
    <w:rsid w:val="005647AD"/>
    <w:rsid w:val="005E2E42"/>
    <w:rsid w:val="00607EC1"/>
    <w:rsid w:val="00615328"/>
    <w:rsid w:val="006251A2"/>
    <w:rsid w:val="00670360"/>
    <w:rsid w:val="00681188"/>
    <w:rsid w:val="00686CFE"/>
    <w:rsid w:val="006A3DD9"/>
    <w:rsid w:val="006B0E19"/>
    <w:rsid w:val="006E5633"/>
    <w:rsid w:val="006F318B"/>
    <w:rsid w:val="006F479C"/>
    <w:rsid w:val="00704224"/>
    <w:rsid w:val="00714091"/>
    <w:rsid w:val="00716B4D"/>
    <w:rsid w:val="0072708A"/>
    <w:rsid w:val="0078029A"/>
    <w:rsid w:val="007A3DED"/>
    <w:rsid w:val="007D3000"/>
    <w:rsid w:val="007E456C"/>
    <w:rsid w:val="007F5E9B"/>
    <w:rsid w:val="00823A8D"/>
    <w:rsid w:val="0085231E"/>
    <w:rsid w:val="00856AEB"/>
    <w:rsid w:val="008879FC"/>
    <w:rsid w:val="00890AD2"/>
    <w:rsid w:val="008C23EF"/>
    <w:rsid w:val="008E3FDB"/>
    <w:rsid w:val="008E4826"/>
    <w:rsid w:val="00901083"/>
    <w:rsid w:val="00902979"/>
    <w:rsid w:val="0090612C"/>
    <w:rsid w:val="00942F9B"/>
    <w:rsid w:val="00963F92"/>
    <w:rsid w:val="009863E2"/>
    <w:rsid w:val="009B0A8D"/>
    <w:rsid w:val="009B4A82"/>
    <w:rsid w:val="00A20C2C"/>
    <w:rsid w:val="00A30C65"/>
    <w:rsid w:val="00A327C6"/>
    <w:rsid w:val="00A54019"/>
    <w:rsid w:val="00A66648"/>
    <w:rsid w:val="00A81FE8"/>
    <w:rsid w:val="00AB7BC2"/>
    <w:rsid w:val="00AC4DDC"/>
    <w:rsid w:val="00AF1A99"/>
    <w:rsid w:val="00AF56F6"/>
    <w:rsid w:val="00B01C7B"/>
    <w:rsid w:val="00B171B9"/>
    <w:rsid w:val="00B633B8"/>
    <w:rsid w:val="00B672B7"/>
    <w:rsid w:val="00B70C42"/>
    <w:rsid w:val="00BB1525"/>
    <w:rsid w:val="00BE43D2"/>
    <w:rsid w:val="00BE705E"/>
    <w:rsid w:val="00BF117B"/>
    <w:rsid w:val="00C044DC"/>
    <w:rsid w:val="00C15110"/>
    <w:rsid w:val="00C168BE"/>
    <w:rsid w:val="00C25C70"/>
    <w:rsid w:val="00CA659F"/>
    <w:rsid w:val="00D15FA2"/>
    <w:rsid w:val="00D47A06"/>
    <w:rsid w:val="00D82B5E"/>
    <w:rsid w:val="00DB5676"/>
    <w:rsid w:val="00DD63AD"/>
    <w:rsid w:val="00DE6603"/>
    <w:rsid w:val="00DF39CC"/>
    <w:rsid w:val="00E4161C"/>
    <w:rsid w:val="00E41672"/>
    <w:rsid w:val="00E87B33"/>
    <w:rsid w:val="00EF7A9B"/>
    <w:rsid w:val="00F55F70"/>
    <w:rsid w:val="00FE2F4D"/>
    <w:rsid w:val="00FE414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8218A"/>
  <w15:docId w15:val="{92E11BF4-57A3-480C-B610-5145CEB3E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B5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A3DD9"/>
    <w:rPr>
      <w:color w:val="0000FF"/>
      <w:u w:val="single"/>
    </w:rPr>
  </w:style>
  <w:style w:type="paragraph" w:styleId="Encabezado">
    <w:name w:val="header"/>
    <w:basedOn w:val="Normal"/>
    <w:link w:val="EncabezadoCar"/>
    <w:uiPriority w:val="99"/>
    <w:semiHidden/>
    <w:unhideWhenUsed/>
    <w:rsid w:val="006A3DD9"/>
    <w:pPr>
      <w:tabs>
        <w:tab w:val="center" w:pos="4320"/>
        <w:tab w:val="right" w:pos="8640"/>
      </w:tabs>
      <w:spacing w:after="0" w:line="240" w:lineRule="auto"/>
      <w:jc w:val="both"/>
    </w:pPr>
    <w:rPr>
      <w:rFonts w:ascii="Times New Roman" w:eastAsia="Times New Roman" w:hAnsi="Times New Roman" w:cs="Times New Roman"/>
      <w:sz w:val="24"/>
      <w:szCs w:val="20"/>
      <w:lang w:eastAsia="es-MX"/>
    </w:rPr>
  </w:style>
  <w:style w:type="character" w:customStyle="1" w:styleId="EncabezadoCar">
    <w:name w:val="Encabezado Car"/>
    <w:basedOn w:val="Fuentedeprrafopredeter"/>
    <w:link w:val="Encabezado"/>
    <w:uiPriority w:val="99"/>
    <w:semiHidden/>
    <w:rsid w:val="006A3DD9"/>
    <w:rPr>
      <w:rFonts w:ascii="Times New Roman" w:eastAsia="Times New Roman" w:hAnsi="Times New Roman" w:cs="Times New Roman"/>
      <w:sz w:val="24"/>
      <w:szCs w:val="20"/>
      <w:lang w:eastAsia="es-MX"/>
    </w:rPr>
  </w:style>
  <w:style w:type="paragraph" w:styleId="Prrafodelista">
    <w:name w:val="List Paragraph"/>
    <w:basedOn w:val="Normal"/>
    <w:uiPriority w:val="34"/>
    <w:qFormat/>
    <w:rsid w:val="00262FA1"/>
    <w:pPr>
      <w:ind w:left="720"/>
      <w:contextualSpacing/>
    </w:pPr>
  </w:style>
  <w:style w:type="paragraph" w:customStyle="1" w:styleId="Subtitutlo2">
    <w:name w:val="Subtitutlo2"/>
    <w:basedOn w:val="Prrafodelista"/>
    <w:link w:val="Subtitutlo2Car"/>
    <w:qFormat/>
    <w:rsid w:val="00262FA1"/>
    <w:pPr>
      <w:numPr>
        <w:numId w:val="2"/>
      </w:numPr>
      <w:spacing w:after="0"/>
    </w:pPr>
    <w:rPr>
      <w:rFonts w:ascii="Calibri" w:eastAsia="Calibri" w:hAnsi="Calibri" w:cs="Courier New"/>
      <w:b/>
      <w:color w:val="000000"/>
      <w:sz w:val="24"/>
      <w:szCs w:val="24"/>
    </w:rPr>
  </w:style>
  <w:style w:type="character" w:customStyle="1" w:styleId="Subtitutlo2Car">
    <w:name w:val="Subtitutlo2 Car"/>
    <w:basedOn w:val="Fuentedeprrafopredeter"/>
    <w:link w:val="Subtitutlo2"/>
    <w:rsid w:val="00262FA1"/>
    <w:rPr>
      <w:rFonts w:ascii="Calibri" w:eastAsia="Calibri" w:hAnsi="Calibri" w:cs="Courier New"/>
      <w:b/>
      <w:color w:val="000000"/>
      <w:sz w:val="24"/>
      <w:szCs w:val="24"/>
    </w:rPr>
  </w:style>
  <w:style w:type="paragraph" w:customStyle="1" w:styleId="Default">
    <w:name w:val="Default"/>
    <w:rsid w:val="00262FA1"/>
    <w:pPr>
      <w:autoSpaceDE w:val="0"/>
      <w:autoSpaceDN w:val="0"/>
      <w:adjustRightInd w:val="0"/>
      <w:spacing w:after="0" w:line="240" w:lineRule="auto"/>
    </w:pPr>
    <w:rPr>
      <w:rFonts w:ascii="Verdana" w:hAnsi="Verdana" w:cs="Verdana"/>
      <w:color w:val="000000"/>
      <w:sz w:val="24"/>
      <w:szCs w:val="24"/>
    </w:rPr>
  </w:style>
  <w:style w:type="paragraph" w:customStyle="1" w:styleId="Noparagraphstyle">
    <w:name w:val="[No paragraph style]"/>
    <w:rsid w:val="00262FA1"/>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es-CR"/>
    </w:rPr>
  </w:style>
  <w:style w:type="paragraph" w:styleId="Textodeglobo">
    <w:name w:val="Balloon Text"/>
    <w:basedOn w:val="Normal"/>
    <w:link w:val="TextodegloboCar"/>
    <w:uiPriority w:val="99"/>
    <w:semiHidden/>
    <w:unhideWhenUsed/>
    <w:rsid w:val="003A42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A42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091598">
      <w:bodyDiv w:val="1"/>
      <w:marLeft w:val="0"/>
      <w:marRight w:val="0"/>
      <w:marTop w:val="0"/>
      <w:marBottom w:val="0"/>
      <w:divBdr>
        <w:top w:val="none" w:sz="0" w:space="0" w:color="auto"/>
        <w:left w:val="none" w:sz="0" w:space="0" w:color="auto"/>
        <w:bottom w:val="none" w:sz="0" w:space="0" w:color="auto"/>
        <w:right w:val="none" w:sz="0" w:space="0" w:color="auto"/>
      </w:divBdr>
    </w:div>
    <w:div w:id="156259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1728</TotalTime>
  <Pages>5</Pages>
  <Words>1695</Words>
  <Characters>9326</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lanzoategui</dc:creator>
  <cp:lastModifiedBy>Erik Ramirez</cp:lastModifiedBy>
  <cp:revision>20</cp:revision>
  <cp:lastPrinted>2012-01-24T22:03:00Z</cp:lastPrinted>
  <dcterms:created xsi:type="dcterms:W3CDTF">2020-03-25T17:49:00Z</dcterms:created>
  <dcterms:modified xsi:type="dcterms:W3CDTF">2020-03-27T23:55:00Z</dcterms:modified>
</cp:coreProperties>
</file>