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1A" w:rsidRDefault="002114B8" w:rsidP="002114B8">
      <w:pPr>
        <w:widowControl w:val="0"/>
        <w:spacing w:after="0" w:line="240" w:lineRule="auto"/>
        <w:jc w:val="center"/>
        <w:rPr>
          <w:rFonts w:ascii="Times New Roman" w:eastAsia="Times New Roman" w:hAnsi="Times New Roman" w:cs="Times New Roman"/>
          <w:b/>
          <w:snapToGrid w:val="0"/>
          <w:color w:val="000000"/>
          <w:sz w:val="24"/>
          <w:szCs w:val="24"/>
          <w:lang w:val="es-MX" w:eastAsia="es-ES"/>
        </w:rPr>
      </w:pPr>
      <w:r>
        <w:rPr>
          <w:rFonts w:ascii="Times New Roman" w:eastAsia="Times New Roman" w:hAnsi="Times New Roman" w:cs="Times New Roman"/>
          <w:b/>
          <w:snapToGrid w:val="0"/>
          <w:color w:val="000000"/>
          <w:sz w:val="24"/>
          <w:szCs w:val="24"/>
          <w:lang w:val="es-MX" w:eastAsia="es-ES"/>
        </w:rPr>
        <w:t xml:space="preserve">GLOSA DE </w:t>
      </w:r>
      <w:r w:rsidR="0060791A" w:rsidRPr="0060791A">
        <w:rPr>
          <w:rFonts w:ascii="Times New Roman" w:eastAsia="Times New Roman" w:hAnsi="Times New Roman" w:cs="Times New Roman"/>
          <w:b/>
          <w:snapToGrid w:val="0"/>
          <w:color w:val="000000"/>
          <w:sz w:val="24"/>
          <w:szCs w:val="24"/>
          <w:lang w:val="es-MX" w:eastAsia="es-ES"/>
        </w:rPr>
        <w:t xml:space="preserve">LA JURISPRUDENCIA DE LA </w:t>
      </w:r>
    </w:p>
    <w:p w:rsidR="00BA7BE0" w:rsidRDefault="0060791A" w:rsidP="002114B8">
      <w:pPr>
        <w:widowControl w:val="0"/>
        <w:spacing w:after="0" w:line="240" w:lineRule="auto"/>
        <w:jc w:val="center"/>
        <w:rPr>
          <w:rFonts w:ascii="Times New Roman" w:eastAsia="Times New Roman" w:hAnsi="Times New Roman" w:cs="Times New Roman"/>
          <w:b/>
          <w:snapToGrid w:val="0"/>
          <w:color w:val="000000"/>
          <w:sz w:val="24"/>
          <w:szCs w:val="24"/>
          <w:lang w:val="es-MX" w:eastAsia="es-ES"/>
        </w:rPr>
      </w:pPr>
      <w:r w:rsidRPr="0060791A">
        <w:rPr>
          <w:rFonts w:ascii="Times New Roman" w:eastAsia="Times New Roman" w:hAnsi="Times New Roman" w:cs="Times New Roman"/>
          <w:b/>
          <w:snapToGrid w:val="0"/>
          <w:color w:val="000000"/>
          <w:sz w:val="24"/>
          <w:szCs w:val="24"/>
          <w:lang w:val="es-MX" w:eastAsia="es-ES"/>
        </w:rPr>
        <w:t>SALA PRIMERA DE LA CORTE SUPREMA DE JUSTICIA</w:t>
      </w:r>
      <w:r w:rsidR="00A66E44">
        <w:rPr>
          <w:rFonts w:ascii="Times New Roman" w:eastAsia="Times New Roman" w:hAnsi="Times New Roman" w:cs="Times New Roman"/>
          <w:b/>
          <w:snapToGrid w:val="0"/>
          <w:color w:val="000000"/>
          <w:sz w:val="24"/>
          <w:szCs w:val="24"/>
          <w:lang w:val="es-MX" w:eastAsia="es-ES"/>
        </w:rPr>
        <w:t xml:space="preserve">  </w:t>
      </w:r>
      <w:bookmarkStart w:id="0" w:name="_GoBack"/>
      <w:bookmarkEnd w:id="0"/>
    </w:p>
    <w:p w:rsidR="00A66E44" w:rsidRDefault="00A66E44" w:rsidP="0060791A">
      <w:pPr>
        <w:widowControl w:val="0"/>
        <w:spacing w:before="100" w:beforeAutospacing="1" w:after="100" w:afterAutospacing="1" w:line="240" w:lineRule="auto"/>
        <w:jc w:val="center"/>
        <w:rPr>
          <w:rFonts w:ascii="Times New Roman" w:eastAsia="Times New Roman" w:hAnsi="Times New Roman" w:cs="Times New Roman"/>
          <w:b/>
          <w:snapToGrid w:val="0"/>
          <w:color w:val="000000"/>
          <w:sz w:val="24"/>
          <w:szCs w:val="24"/>
          <w:lang w:val="es-MX" w:eastAsia="es-ES"/>
        </w:rPr>
      </w:pPr>
      <w:r>
        <w:rPr>
          <w:rFonts w:ascii="Times New Roman" w:eastAsia="Times New Roman" w:hAnsi="Times New Roman" w:cs="Times New Roman"/>
          <w:b/>
          <w:snapToGrid w:val="0"/>
          <w:color w:val="000000"/>
          <w:sz w:val="24"/>
          <w:szCs w:val="24"/>
          <w:lang w:val="es-MX" w:eastAsia="es-ES"/>
        </w:rPr>
        <w:t>RESPONSABILIDAD CIVIL EXTRACONTRACTUAL DEL ESTADO</w:t>
      </w:r>
    </w:p>
    <w:p w:rsidR="00263B87" w:rsidRDefault="00263B87" w:rsidP="0060791A">
      <w:pPr>
        <w:widowControl w:val="0"/>
        <w:spacing w:before="100" w:beforeAutospacing="1" w:after="100" w:afterAutospacing="1" w:line="240" w:lineRule="auto"/>
        <w:jc w:val="center"/>
        <w:rPr>
          <w:rFonts w:ascii="Times New Roman" w:eastAsia="Times New Roman" w:hAnsi="Times New Roman" w:cs="Times New Roman"/>
          <w:b/>
          <w:snapToGrid w:val="0"/>
          <w:color w:val="000000"/>
          <w:sz w:val="24"/>
          <w:szCs w:val="24"/>
          <w:lang w:val="es-MX" w:eastAsia="es-ES"/>
        </w:rPr>
      </w:pPr>
    </w:p>
    <w:p w:rsidR="00263B87" w:rsidRPr="0060791A" w:rsidRDefault="00263B87" w:rsidP="0060791A">
      <w:pPr>
        <w:widowControl w:val="0"/>
        <w:spacing w:before="100" w:beforeAutospacing="1" w:after="100" w:afterAutospacing="1" w:line="240" w:lineRule="auto"/>
        <w:jc w:val="center"/>
        <w:rPr>
          <w:rFonts w:ascii="Times New Roman" w:eastAsia="Times New Roman" w:hAnsi="Times New Roman" w:cs="Times New Roman"/>
          <w:b/>
          <w:snapToGrid w:val="0"/>
          <w:color w:val="000000"/>
          <w:sz w:val="24"/>
          <w:szCs w:val="24"/>
          <w:lang w:val="es-MX" w:eastAsia="es-ES"/>
        </w:rPr>
      </w:pPr>
      <w:r>
        <w:rPr>
          <w:rFonts w:ascii="Times New Roman" w:eastAsia="Times New Roman" w:hAnsi="Times New Roman" w:cs="Times New Roman"/>
          <w:b/>
          <w:snapToGrid w:val="0"/>
          <w:color w:val="000000"/>
          <w:sz w:val="24"/>
          <w:szCs w:val="24"/>
          <w:lang w:val="es-MX" w:eastAsia="es-ES"/>
        </w:rPr>
        <w:t>Msc. Carlos Manavella</w:t>
      </w:r>
    </w:p>
    <w:p w:rsidR="0060791A" w:rsidRDefault="0060791A" w:rsidP="00BA7BE0">
      <w:pPr>
        <w:widowControl w:val="0"/>
        <w:spacing w:before="100" w:beforeAutospacing="1" w:after="100" w:afterAutospacing="1" w:line="240" w:lineRule="auto"/>
        <w:ind w:firstLine="708"/>
        <w:jc w:val="both"/>
        <w:rPr>
          <w:rFonts w:ascii="Times New Roman" w:eastAsia="Times New Roman" w:hAnsi="Times New Roman" w:cs="Times New Roman"/>
          <w:snapToGrid w:val="0"/>
          <w:color w:val="000000"/>
          <w:sz w:val="24"/>
          <w:szCs w:val="24"/>
          <w:lang w:val="es-MX" w:eastAsia="es-ES"/>
        </w:rPr>
      </w:pPr>
    </w:p>
    <w:p w:rsidR="00E0160B" w:rsidRDefault="001D4D41" w:rsidP="00BA7BE0">
      <w:pPr>
        <w:widowControl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snapToGrid w:val="0"/>
          <w:color w:val="000000"/>
          <w:sz w:val="24"/>
          <w:szCs w:val="24"/>
          <w:lang w:val="es-MX" w:eastAsia="es-ES"/>
        </w:rPr>
        <w:t xml:space="preserve">Ya en </w:t>
      </w:r>
      <w:r w:rsidRPr="0060791A">
        <w:rPr>
          <w:rFonts w:ascii="Times New Roman" w:eastAsia="Times New Roman" w:hAnsi="Times New Roman" w:cs="Times New Roman"/>
          <w:b/>
          <w:snapToGrid w:val="0"/>
          <w:color w:val="000000"/>
          <w:sz w:val="24"/>
          <w:szCs w:val="24"/>
          <w:lang w:val="es-MX" w:eastAsia="es-ES"/>
        </w:rPr>
        <w:t>1990</w:t>
      </w:r>
      <w:r>
        <w:rPr>
          <w:rFonts w:ascii="Times New Roman" w:eastAsia="Times New Roman" w:hAnsi="Times New Roman" w:cs="Times New Roman"/>
          <w:snapToGrid w:val="0"/>
          <w:color w:val="000000"/>
          <w:sz w:val="24"/>
          <w:szCs w:val="24"/>
          <w:lang w:val="es-MX" w:eastAsia="es-ES"/>
        </w:rPr>
        <w:t>, e</w:t>
      </w:r>
      <w:r w:rsidR="00E0160B">
        <w:rPr>
          <w:rFonts w:ascii="Times New Roman" w:eastAsia="Times New Roman" w:hAnsi="Times New Roman" w:cs="Times New Roman"/>
          <w:snapToGrid w:val="0"/>
          <w:color w:val="000000"/>
          <w:sz w:val="24"/>
          <w:szCs w:val="24"/>
          <w:lang w:val="es-MX" w:eastAsia="es-ES"/>
        </w:rPr>
        <w:t xml:space="preserve">n una </w:t>
      </w:r>
      <w:r>
        <w:rPr>
          <w:rFonts w:ascii="Times New Roman" w:eastAsia="Times New Roman" w:hAnsi="Times New Roman" w:cs="Times New Roman"/>
          <w:snapToGrid w:val="0"/>
          <w:color w:val="000000"/>
          <w:sz w:val="24"/>
          <w:szCs w:val="24"/>
          <w:lang w:val="es-MX" w:eastAsia="es-ES"/>
        </w:rPr>
        <w:t>histórica</w:t>
      </w:r>
      <w:r w:rsidR="00BA7BE0">
        <w:rPr>
          <w:rFonts w:ascii="Times New Roman" w:eastAsia="Times New Roman" w:hAnsi="Times New Roman" w:cs="Times New Roman"/>
          <w:snapToGrid w:val="0"/>
          <w:color w:val="000000"/>
          <w:sz w:val="24"/>
          <w:szCs w:val="24"/>
          <w:lang w:val="es-MX" w:eastAsia="es-ES"/>
        </w:rPr>
        <w:t xml:space="preserve"> resolución, la </w:t>
      </w:r>
      <w:r w:rsidR="00E0160B">
        <w:rPr>
          <w:rFonts w:ascii="Times New Roman" w:eastAsia="Times New Roman" w:hAnsi="Times New Roman" w:cs="Times New Roman"/>
          <w:snapToGrid w:val="0"/>
          <w:color w:val="000000"/>
          <w:sz w:val="24"/>
          <w:szCs w:val="24"/>
          <w:lang w:val="es-MX" w:eastAsia="es-ES"/>
        </w:rPr>
        <w:t>S</w:t>
      </w:r>
      <w:r>
        <w:rPr>
          <w:rFonts w:ascii="Times New Roman" w:eastAsia="Times New Roman" w:hAnsi="Times New Roman" w:cs="Times New Roman"/>
          <w:snapToGrid w:val="0"/>
          <w:color w:val="000000"/>
          <w:sz w:val="24"/>
          <w:szCs w:val="24"/>
          <w:lang w:val="es-MX" w:eastAsia="es-ES"/>
        </w:rPr>
        <w:t>ala P</w:t>
      </w:r>
      <w:r w:rsidR="00E0160B">
        <w:rPr>
          <w:rFonts w:ascii="Times New Roman" w:eastAsia="Times New Roman" w:hAnsi="Times New Roman" w:cs="Times New Roman"/>
          <w:snapToGrid w:val="0"/>
          <w:color w:val="000000"/>
          <w:sz w:val="24"/>
          <w:szCs w:val="24"/>
          <w:lang w:val="es-MX" w:eastAsia="es-ES"/>
        </w:rPr>
        <w:t xml:space="preserve">rimera de la Corte Suprema de Justicia examinó cuidadosamente la </w:t>
      </w:r>
      <w:r w:rsidR="00E0160B" w:rsidRPr="0060791A">
        <w:rPr>
          <w:rFonts w:ascii="Times New Roman" w:eastAsia="Times New Roman" w:hAnsi="Times New Roman" w:cs="Times New Roman"/>
          <w:b/>
          <w:snapToGrid w:val="0"/>
          <w:color w:val="000000"/>
          <w:sz w:val="24"/>
          <w:szCs w:val="24"/>
          <w:lang w:val="es-MX" w:eastAsia="es-ES"/>
        </w:rPr>
        <w:t>evolución e independencia del régimen de la responsabilidad</w:t>
      </w:r>
      <w:r w:rsidRPr="0060791A">
        <w:rPr>
          <w:rFonts w:ascii="Times New Roman" w:eastAsia="Times New Roman" w:hAnsi="Times New Roman" w:cs="Times New Roman"/>
          <w:b/>
          <w:snapToGrid w:val="0"/>
          <w:color w:val="000000"/>
          <w:sz w:val="24"/>
          <w:szCs w:val="24"/>
          <w:lang w:val="es-MX" w:eastAsia="es-ES"/>
        </w:rPr>
        <w:t xml:space="preserve"> civil extracontractual</w:t>
      </w:r>
      <w:r w:rsidR="00E0160B" w:rsidRPr="0060791A">
        <w:rPr>
          <w:rFonts w:ascii="Times New Roman" w:eastAsia="Times New Roman" w:hAnsi="Times New Roman" w:cs="Times New Roman"/>
          <w:b/>
          <w:snapToGrid w:val="0"/>
          <w:color w:val="000000"/>
          <w:sz w:val="24"/>
          <w:szCs w:val="24"/>
          <w:lang w:val="es-MX" w:eastAsia="es-ES"/>
        </w:rPr>
        <w:t xml:space="preserve"> de la Administración Pública en nuestro país</w:t>
      </w:r>
      <w:r w:rsidR="00F01129">
        <w:rPr>
          <w:rFonts w:ascii="Times New Roman" w:eastAsia="Times New Roman" w:hAnsi="Times New Roman" w:cs="Times New Roman"/>
          <w:snapToGrid w:val="0"/>
          <w:color w:val="000000"/>
          <w:sz w:val="24"/>
          <w:szCs w:val="24"/>
          <w:lang w:val="es-MX" w:eastAsia="es-ES"/>
        </w:rPr>
        <w:t>, explicando có</w:t>
      </w:r>
      <w:r w:rsidR="00E0160B">
        <w:rPr>
          <w:rFonts w:ascii="Times New Roman" w:eastAsia="Times New Roman" w:hAnsi="Times New Roman" w:cs="Times New Roman"/>
          <w:snapToGrid w:val="0"/>
          <w:color w:val="000000"/>
          <w:sz w:val="24"/>
          <w:szCs w:val="24"/>
          <w:lang w:val="es-MX" w:eastAsia="es-ES"/>
        </w:rPr>
        <w:t>mo se fue separando</w:t>
      </w:r>
      <w:r>
        <w:rPr>
          <w:rFonts w:ascii="Times New Roman" w:eastAsia="Times New Roman" w:hAnsi="Times New Roman" w:cs="Times New Roman"/>
          <w:snapToGrid w:val="0"/>
          <w:color w:val="000000"/>
          <w:sz w:val="24"/>
          <w:szCs w:val="24"/>
          <w:lang w:val="es-MX" w:eastAsia="es-ES"/>
        </w:rPr>
        <w:t xml:space="preserve"> lentamente</w:t>
      </w:r>
      <w:r w:rsidR="00E0160B">
        <w:rPr>
          <w:rFonts w:ascii="Times New Roman" w:eastAsia="Times New Roman" w:hAnsi="Times New Roman" w:cs="Times New Roman"/>
          <w:snapToGrid w:val="0"/>
          <w:color w:val="000000"/>
          <w:sz w:val="24"/>
          <w:szCs w:val="24"/>
          <w:lang w:val="es-MX" w:eastAsia="es-ES"/>
        </w:rPr>
        <w:t xml:space="preserve"> de las reflexiones civilistas</w:t>
      </w:r>
      <w:r>
        <w:rPr>
          <w:rFonts w:ascii="Times New Roman" w:eastAsia="Times New Roman" w:hAnsi="Times New Roman" w:cs="Times New Roman"/>
          <w:snapToGrid w:val="0"/>
          <w:color w:val="000000"/>
          <w:sz w:val="24"/>
          <w:szCs w:val="24"/>
          <w:lang w:val="es-MX" w:eastAsia="es-ES"/>
        </w:rPr>
        <w:t xml:space="preserve"> </w:t>
      </w:r>
      <w:r w:rsidR="00E0160B">
        <w:rPr>
          <w:rFonts w:ascii="Times New Roman" w:eastAsia="Times New Roman" w:hAnsi="Times New Roman" w:cs="Times New Roman"/>
          <w:snapToGrid w:val="0"/>
          <w:color w:val="000000"/>
          <w:sz w:val="24"/>
          <w:szCs w:val="24"/>
          <w:lang w:val="es-MX" w:eastAsia="es-ES"/>
        </w:rPr>
        <w:t>dando lugar</w:t>
      </w:r>
      <w:r w:rsidR="00E0160B">
        <w:rPr>
          <w:rFonts w:ascii="Times New Roman" w:eastAsia="Times New Roman" w:hAnsi="Times New Roman" w:cs="Times New Roman"/>
          <w:color w:val="000000"/>
          <w:sz w:val="24"/>
          <w:szCs w:val="24"/>
          <w:lang w:eastAsia="es-ES"/>
        </w:rPr>
        <w:t xml:space="preserve"> </w:t>
      </w:r>
      <w:r w:rsidR="00951B99" w:rsidRPr="00951B99">
        <w:rPr>
          <w:rFonts w:ascii="Times New Roman" w:eastAsia="Times New Roman" w:hAnsi="Times New Roman" w:cs="Times New Roman"/>
          <w:iCs/>
          <w:color w:val="000000"/>
          <w:sz w:val="24"/>
          <w:szCs w:val="24"/>
          <w:lang w:val="es-MX" w:eastAsia="es-ES"/>
        </w:rPr>
        <w:t>a la construcción de</w:t>
      </w:r>
      <w:r w:rsidR="00E0160B">
        <w:rPr>
          <w:rFonts w:ascii="Times New Roman" w:eastAsia="Times New Roman" w:hAnsi="Times New Roman" w:cs="Times New Roman"/>
          <w:iCs/>
          <w:color w:val="000000"/>
          <w:sz w:val="24"/>
          <w:szCs w:val="24"/>
          <w:lang w:val="es-MX" w:eastAsia="es-ES"/>
        </w:rPr>
        <w:t xml:space="preserve"> la teoría de</w:t>
      </w:r>
      <w:r w:rsidR="00951B99" w:rsidRPr="00951B99">
        <w:rPr>
          <w:rFonts w:ascii="Times New Roman" w:eastAsia="Times New Roman" w:hAnsi="Times New Roman" w:cs="Times New Roman"/>
          <w:iCs/>
          <w:color w:val="000000"/>
          <w:sz w:val="24"/>
          <w:szCs w:val="24"/>
          <w:lang w:val="es-MX" w:eastAsia="es-ES"/>
        </w:rPr>
        <w:t xml:space="preserve"> las </w:t>
      </w:r>
      <w:r w:rsidR="00951B99" w:rsidRPr="00951B99">
        <w:rPr>
          <w:rFonts w:ascii="Times New Roman" w:eastAsia="Times New Roman" w:hAnsi="Times New Roman" w:cs="Times New Roman"/>
          <w:b/>
          <w:bCs/>
          <w:iCs/>
          <w:color w:val="000000"/>
          <w:sz w:val="24"/>
          <w:szCs w:val="24"/>
          <w:lang w:val="es-MX" w:eastAsia="es-ES"/>
        </w:rPr>
        <w:t xml:space="preserve">faltas de </w:t>
      </w:r>
      <w:r w:rsidR="00951B99" w:rsidRPr="00951B99">
        <w:rPr>
          <w:rFonts w:ascii="Times New Roman" w:eastAsia="Times New Roman" w:hAnsi="Times New Roman" w:cs="Times New Roman"/>
          <w:iCs/>
          <w:color w:val="000000"/>
          <w:sz w:val="24"/>
          <w:szCs w:val="24"/>
          <w:lang w:val="es-MX" w:eastAsia="es-ES"/>
        </w:rPr>
        <w:t xml:space="preserve">y </w:t>
      </w:r>
      <w:r w:rsidR="00951B99" w:rsidRPr="00951B99">
        <w:rPr>
          <w:rFonts w:ascii="Times New Roman" w:eastAsia="Times New Roman" w:hAnsi="Times New Roman" w:cs="Times New Roman"/>
          <w:b/>
          <w:bCs/>
          <w:iCs/>
          <w:color w:val="000000"/>
          <w:sz w:val="24"/>
          <w:szCs w:val="24"/>
          <w:lang w:val="es-MX" w:eastAsia="es-ES"/>
        </w:rPr>
        <w:t>del servicio</w:t>
      </w:r>
      <w:r w:rsidR="00E0160B">
        <w:rPr>
          <w:rFonts w:ascii="Times New Roman" w:eastAsia="Times New Roman" w:hAnsi="Times New Roman" w:cs="Times New Roman"/>
          <w:b/>
          <w:bCs/>
          <w:iCs/>
          <w:color w:val="000000"/>
          <w:sz w:val="24"/>
          <w:szCs w:val="24"/>
          <w:lang w:val="es-MX" w:eastAsia="es-ES"/>
        </w:rPr>
        <w:t>.</w:t>
      </w:r>
    </w:p>
    <w:p w:rsidR="00951B99" w:rsidRDefault="00E0160B" w:rsidP="001D4D41">
      <w:pPr>
        <w:widowControl w:val="0"/>
        <w:spacing w:before="100" w:beforeAutospacing="1" w:after="100" w:afterAutospacing="1" w:line="240" w:lineRule="auto"/>
        <w:ind w:firstLine="708"/>
        <w:jc w:val="both"/>
        <w:rPr>
          <w:rFonts w:ascii="Times New Roman" w:eastAsia="Times New Roman" w:hAnsi="Times New Roman" w:cs="Times New Roman"/>
          <w:i/>
          <w:iCs/>
          <w:color w:val="000000"/>
          <w:spacing w:val="-3"/>
          <w:sz w:val="24"/>
          <w:szCs w:val="24"/>
          <w:lang w:val="es-ES_tradnl" w:eastAsia="es-ES"/>
        </w:rPr>
      </w:pPr>
      <w:r>
        <w:rPr>
          <w:rFonts w:ascii="Times New Roman" w:eastAsia="Times New Roman" w:hAnsi="Times New Roman" w:cs="Times New Roman"/>
          <w:color w:val="000000"/>
          <w:sz w:val="24"/>
          <w:szCs w:val="24"/>
          <w:lang w:eastAsia="es-ES"/>
        </w:rPr>
        <w:t xml:space="preserve">“ … </w:t>
      </w:r>
      <w:r w:rsidR="00951B99" w:rsidRPr="00951B99">
        <w:rPr>
          <w:rFonts w:ascii="Times New Roman" w:eastAsia="Times New Roman" w:hAnsi="Times New Roman" w:cs="Times New Roman"/>
          <w:i/>
          <w:iCs/>
          <w:color w:val="000000"/>
          <w:spacing w:val="-3"/>
          <w:sz w:val="24"/>
          <w:szCs w:val="24"/>
          <w:lang w:val="es-ES_tradnl" w:eastAsia="es-ES"/>
        </w:rPr>
        <w:t xml:space="preserve">Se estableció que existía falta de servicio si al cumplirse la función se causaba un daño. Ello </w:t>
      </w:r>
      <w:proofErr w:type="spellStart"/>
      <w:r w:rsidR="00951B99" w:rsidRPr="00951B99">
        <w:rPr>
          <w:rFonts w:ascii="Times New Roman" w:eastAsia="Times New Roman" w:hAnsi="Times New Roman" w:cs="Times New Roman"/>
          <w:i/>
          <w:iCs/>
          <w:color w:val="000000"/>
          <w:spacing w:val="-3"/>
          <w:sz w:val="24"/>
          <w:szCs w:val="24"/>
          <w:lang w:val="es-ES_tradnl" w:eastAsia="es-ES"/>
        </w:rPr>
        <w:t>aún</w:t>
      </w:r>
      <w:proofErr w:type="spellEnd"/>
      <w:r w:rsidR="00951B99" w:rsidRPr="00951B99">
        <w:rPr>
          <w:rFonts w:ascii="Times New Roman" w:eastAsia="Times New Roman" w:hAnsi="Times New Roman" w:cs="Times New Roman"/>
          <w:i/>
          <w:iCs/>
          <w:color w:val="000000"/>
          <w:spacing w:val="-3"/>
          <w:sz w:val="24"/>
          <w:szCs w:val="24"/>
          <w:lang w:val="es-ES_tradnl" w:eastAsia="es-ES"/>
        </w:rPr>
        <w:t xml:space="preserve"> cuando el funcionario ejerciera su labor como tal, si al hacerlo, actuó con negligencia, o incurriendo en omisiones, o errores vinculados al servicio, o cuando no se cumplía la función debiendo realizarse, o se efectuaba en forma tardía. Quedó establecida además, la falta del funcionario o falta personal, que es aquélla en que se incurre cuando éste se extralimita en sus atribuciones. Luego se aceptó que ambas faltas podían coexistir, y aunque diferentes, podían concurrir a la producción de un daño si la falta personal estaba ligada a la ejecución de un servicio público</w:t>
      </w:r>
      <w:r w:rsidR="00951B99" w:rsidRPr="0060791A">
        <w:rPr>
          <w:rFonts w:ascii="Times New Roman" w:eastAsia="Times New Roman" w:hAnsi="Times New Roman" w:cs="Times New Roman"/>
          <w:b/>
          <w:i/>
          <w:iCs/>
          <w:color w:val="000000"/>
          <w:spacing w:val="-3"/>
          <w:sz w:val="24"/>
          <w:szCs w:val="24"/>
          <w:lang w:val="es-ES_tradnl" w:eastAsia="es-ES"/>
        </w:rPr>
        <w:t xml:space="preserve">. </w:t>
      </w:r>
      <w:r w:rsidR="00951B99" w:rsidRPr="0060791A">
        <w:rPr>
          <w:rFonts w:ascii="Times New Roman" w:eastAsia="Times New Roman" w:hAnsi="Times New Roman" w:cs="Times New Roman"/>
          <w:b/>
          <w:i/>
          <w:iCs/>
          <w:color w:val="000000"/>
          <w:spacing w:val="-3"/>
          <w:sz w:val="24"/>
          <w:szCs w:val="24"/>
          <w:u w:val="single"/>
          <w:lang w:val="es-ES_tradnl" w:eastAsia="es-ES"/>
        </w:rPr>
        <w:t xml:space="preserve">Por último, se arriba a la última etapa de la evolución para reconocer la responsabilidad de la Administración por razón del simple funcionamiento del servicio, sin necesidad de probar la culpa del funcionario encargado de su </w:t>
      </w:r>
      <w:proofErr w:type="gramStart"/>
      <w:r w:rsidR="00951B99" w:rsidRPr="0060791A">
        <w:rPr>
          <w:rFonts w:ascii="Times New Roman" w:eastAsia="Times New Roman" w:hAnsi="Times New Roman" w:cs="Times New Roman"/>
          <w:b/>
          <w:i/>
          <w:iCs/>
          <w:color w:val="000000"/>
          <w:spacing w:val="-3"/>
          <w:sz w:val="24"/>
          <w:szCs w:val="24"/>
          <w:u w:val="single"/>
          <w:lang w:val="es-ES_tradnl" w:eastAsia="es-ES"/>
        </w:rPr>
        <w:t>prestación</w:t>
      </w:r>
      <w:r w:rsidR="00951B99" w:rsidRPr="00951B99">
        <w:rPr>
          <w:rFonts w:ascii="Times New Roman" w:eastAsia="Times New Roman" w:hAnsi="Times New Roman" w:cs="Times New Roman"/>
          <w:i/>
          <w:iCs/>
          <w:color w:val="000000"/>
          <w:spacing w:val="-3"/>
          <w:sz w:val="24"/>
          <w:szCs w:val="24"/>
          <w:u w:val="single"/>
          <w:lang w:val="es-ES_tradnl" w:eastAsia="es-ES"/>
        </w:rPr>
        <w:t xml:space="preserve"> </w:t>
      </w:r>
      <w:r w:rsidR="00951B99" w:rsidRPr="00951B99">
        <w:rPr>
          <w:rFonts w:ascii="Times New Roman" w:eastAsia="Times New Roman" w:hAnsi="Times New Roman" w:cs="Times New Roman"/>
          <w:i/>
          <w:iCs/>
          <w:color w:val="000000"/>
          <w:spacing w:val="-3"/>
          <w:sz w:val="24"/>
          <w:szCs w:val="24"/>
          <w:lang w:val="es-ES_tradnl" w:eastAsia="es-ES"/>
        </w:rPr>
        <w:t>...</w:t>
      </w:r>
      <w:proofErr w:type="gramEnd"/>
      <w:r w:rsidR="00951B99" w:rsidRPr="00951B99">
        <w:rPr>
          <w:rFonts w:ascii="Times New Roman" w:eastAsia="Times New Roman" w:hAnsi="Times New Roman" w:cs="Times New Roman"/>
          <w:i/>
          <w:iCs/>
          <w:color w:val="000000"/>
          <w:spacing w:val="-3"/>
          <w:sz w:val="24"/>
          <w:szCs w:val="24"/>
          <w:lang w:val="es-ES_tradnl" w:eastAsia="es-ES"/>
        </w:rPr>
        <w:t xml:space="preserve">” Sala Primera de la Corte Suprema de Justicia. 263 de las 15:30 hrs. del 22 de agosto de 1990. </w:t>
      </w:r>
      <w:r>
        <w:rPr>
          <w:rFonts w:ascii="Times New Roman" w:eastAsia="Times New Roman" w:hAnsi="Times New Roman" w:cs="Times New Roman"/>
          <w:i/>
          <w:iCs/>
          <w:color w:val="000000"/>
          <w:spacing w:val="-3"/>
          <w:sz w:val="24"/>
          <w:szCs w:val="24"/>
          <w:lang w:val="es-ES_tradnl" w:eastAsia="es-ES"/>
        </w:rPr>
        <w:t>(</w:t>
      </w:r>
      <w:proofErr w:type="gramStart"/>
      <w:r>
        <w:rPr>
          <w:rFonts w:ascii="Times New Roman" w:eastAsia="Times New Roman" w:hAnsi="Times New Roman" w:cs="Times New Roman"/>
          <w:i/>
          <w:iCs/>
          <w:color w:val="000000"/>
          <w:spacing w:val="-3"/>
          <w:sz w:val="24"/>
          <w:szCs w:val="24"/>
          <w:lang w:val="es-ES_tradnl" w:eastAsia="es-ES"/>
        </w:rPr>
        <w:t>el</w:t>
      </w:r>
      <w:proofErr w:type="gramEnd"/>
      <w:r>
        <w:rPr>
          <w:rFonts w:ascii="Times New Roman" w:eastAsia="Times New Roman" w:hAnsi="Times New Roman" w:cs="Times New Roman"/>
          <w:i/>
          <w:iCs/>
          <w:color w:val="000000"/>
          <w:spacing w:val="-3"/>
          <w:sz w:val="24"/>
          <w:szCs w:val="24"/>
          <w:lang w:val="es-ES_tradnl" w:eastAsia="es-ES"/>
        </w:rPr>
        <w:t xml:space="preserve"> subrayado es de la propia sentencia</w:t>
      </w:r>
      <w:r w:rsidR="001D4D41">
        <w:rPr>
          <w:rFonts w:ascii="Times New Roman" w:eastAsia="Times New Roman" w:hAnsi="Times New Roman" w:cs="Times New Roman"/>
          <w:i/>
          <w:iCs/>
          <w:color w:val="000000"/>
          <w:spacing w:val="-3"/>
          <w:sz w:val="24"/>
          <w:szCs w:val="24"/>
          <w:lang w:val="es-ES_tradnl" w:eastAsia="es-ES"/>
        </w:rPr>
        <w:t>.</w:t>
      </w:r>
      <w:r>
        <w:rPr>
          <w:rFonts w:ascii="Times New Roman" w:eastAsia="Times New Roman" w:hAnsi="Times New Roman" w:cs="Times New Roman"/>
          <w:i/>
          <w:iCs/>
          <w:color w:val="000000"/>
          <w:spacing w:val="-3"/>
          <w:sz w:val="24"/>
          <w:szCs w:val="24"/>
          <w:lang w:val="es-ES_tradnl" w:eastAsia="es-ES"/>
        </w:rPr>
        <w:t>)</w:t>
      </w:r>
    </w:p>
    <w:p w:rsidR="001D4D41" w:rsidRDefault="001D4D41" w:rsidP="001D4D41">
      <w:pPr>
        <w:tabs>
          <w:tab w:val="left" w:pos="900"/>
        </w:tabs>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iCs/>
          <w:color w:val="000000"/>
          <w:sz w:val="24"/>
          <w:szCs w:val="24"/>
          <w:lang w:eastAsia="es-ES"/>
        </w:rPr>
        <w:tab/>
      </w:r>
      <w:r w:rsidRPr="00951B99">
        <w:rPr>
          <w:rFonts w:ascii="Times New Roman" w:eastAsia="Times New Roman" w:hAnsi="Times New Roman" w:cs="Times New Roman"/>
          <w:iCs/>
          <w:color w:val="000000"/>
          <w:sz w:val="24"/>
          <w:szCs w:val="24"/>
          <w:lang w:eastAsia="es-ES"/>
        </w:rPr>
        <w:t xml:space="preserve">En todo caso, el carácter objetivo de la responsabilidad civil extracontractual de la Administración, fue definida con claridad en la sentencia de esta </w:t>
      </w:r>
      <w:r w:rsidRPr="0060791A">
        <w:rPr>
          <w:rFonts w:ascii="Times New Roman" w:eastAsia="Times New Roman" w:hAnsi="Times New Roman" w:cs="Times New Roman"/>
          <w:b/>
          <w:iCs/>
          <w:color w:val="000000"/>
          <w:sz w:val="24"/>
          <w:szCs w:val="24"/>
          <w:lang w:eastAsia="es-ES"/>
        </w:rPr>
        <w:t xml:space="preserve">Sala N° 132 </w:t>
      </w:r>
      <w:r w:rsidR="00BA7BE0" w:rsidRPr="0060791A">
        <w:rPr>
          <w:rFonts w:ascii="Times New Roman" w:eastAsia="Times New Roman" w:hAnsi="Times New Roman" w:cs="Times New Roman"/>
          <w:b/>
          <w:iCs/>
          <w:color w:val="000000"/>
          <w:spacing w:val="-3"/>
          <w:sz w:val="24"/>
          <w:szCs w:val="24"/>
          <w:lang w:eastAsia="es-ES"/>
        </w:rPr>
        <w:t xml:space="preserve">de las 15, 00 hrs. </w:t>
      </w:r>
      <w:r w:rsidRPr="0060791A">
        <w:rPr>
          <w:rFonts w:ascii="Times New Roman" w:eastAsia="Times New Roman" w:hAnsi="Times New Roman" w:cs="Times New Roman"/>
          <w:b/>
          <w:iCs/>
          <w:color w:val="000000"/>
          <w:spacing w:val="-3"/>
          <w:sz w:val="24"/>
          <w:szCs w:val="24"/>
          <w:lang w:eastAsia="es-ES"/>
        </w:rPr>
        <w:t>del 14 de agosto de 1991,</w:t>
      </w:r>
      <w:r w:rsidRPr="00951B99">
        <w:rPr>
          <w:rFonts w:ascii="Times New Roman" w:eastAsia="Times New Roman" w:hAnsi="Times New Roman" w:cs="Times New Roman"/>
          <w:iCs/>
          <w:color w:val="000000"/>
          <w:spacing w:val="-3"/>
          <w:sz w:val="24"/>
          <w:szCs w:val="24"/>
          <w:lang w:eastAsia="es-ES"/>
        </w:rPr>
        <w:t xml:space="preserve"> para un hecho posterior a la entrada en vigencia de la Ley General de la Administración Pública, en la que dijo: </w:t>
      </w:r>
    </w:p>
    <w:p w:rsidR="001D4D41" w:rsidRPr="001D4D41" w:rsidRDefault="001D4D41" w:rsidP="001D4D41">
      <w:pPr>
        <w:tabs>
          <w:tab w:val="left" w:pos="900"/>
        </w:tabs>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b/>
      </w:r>
      <w:r w:rsidRPr="00951B99">
        <w:rPr>
          <w:rFonts w:ascii="Times New Roman" w:eastAsia="Times New Roman" w:hAnsi="Times New Roman" w:cs="Times New Roman"/>
          <w:bCs/>
          <w:iCs/>
          <w:color w:val="000000"/>
          <w:kern w:val="36"/>
          <w:sz w:val="24"/>
          <w:szCs w:val="24"/>
          <w:lang w:eastAsia="es-ES"/>
        </w:rPr>
        <w:t xml:space="preserve">" </w:t>
      </w:r>
      <w:r w:rsidRPr="00951B99">
        <w:rPr>
          <w:rFonts w:ascii="Times New Roman" w:eastAsia="Times New Roman" w:hAnsi="Times New Roman" w:cs="Times New Roman"/>
          <w:bCs/>
          <w:i/>
          <w:iCs/>
          <w:color w:val="000000"/>
          <w:kern w:val="36"/>
          <w:sz w:val="24"/>
          <w:szCs w:val="24"/>
          <w:lang w:eastAsia="es-ES"/>
        </w:rPr>
        <w:t>VI.</w:t>
      </w:r>
      <w:r w:rsidRPr="00BA7BE0">
        <w:rPr>
          <w:rFonts w:ascii="Times New Roman" w:eastAsia="Times New Roman" w:hAnsi="Times New Roman" w:cs="Times New Roman"/>
          <w:bCs/>
          <w:i/>
          <w:iCs/>
          <w:color w:val="000000"/>
          <w:kern w:val="36"/>
          <w:sz w:val="24"/>
          <w:szCs w:val="24"/>
          <w:lang w:eastAsia="es-ES"/>
        </w:rPr>
        <w:t xml:space="preserve"> </w:t>
      </w:r>
      <w:r w:rsidRPr="00951B99">
        <w:rPr>
          <w:rFonts w:ascii="Times New Roman" w:eastAsia="Times New Roman" w:hAnsi="Times New Roman" w:cs="Times New Roman"/>
          <w:bCs/>
          <w:i/>
          <w:iCs/>
          <w:color w:val="000000"/>
          <w:kern w:val="36"/>
          <w:sz w:val="24"/>
          <w:szCs w:val="24"/>
          <w:lang w:eastAsia="es-ES"/>
        </w:rPr>
        <w:t>Nuestra Ley General de la Administración Pública Nº 6227 de 2 de mayo de 1978, vigente desde el 26 de abril de 1979, conforme lo señala la sentencia de esta Sala Nº 81 del año 1984, al resolver la polémica sobre su vigencia, en el Título Sétimo del Libro Primero recogió los principios más modernos, fundados en la doctrina y jurisprudencia más autorizada, sobre la responsabilidad extracontractual de la Administración</w:t>
      </w:r>
      <w:r w:rsidRPr="0060791A">
        <w:rPr>
          <w:rFonts w:ascii="Times New Roman" w:eastAsia="Times New Roman" w:hAnsi="Times New Roman" w:cs="Times New Roman"/>
          <w:b/>
          <w:bCs/>
          <w:i/>
          <w:iCs/>
          <w:color w:val="000000"/>
          <w:kern w:val="36"/>
          <w:sz w:val="24"/>
          <w:szCs w:val="24"/>
          <w:lang w:eastAsia="es-ES"/>
        </w:rPr>
        <w:t xml:space="preserve">, </w:t>
      </w:r>
      <w:r w:rsidRPr="0060791A">
        <w:rPr>
          <w:rFonts w:ascii="Times New Roman" w:eastAsia="Times New Roman" w:hAnsi="Times New Roman" w:cs="Times New Roman"/>
          <w:b/>
          <w:bCs/>
          <w:i/>
          <w:iCs/>
          <w:color w:val="000000"/>
          <w:kern w:val="36"/>
          <w:sz w:val="24"/>
          <w:szCs w:val="24"/>
          <w:u w:val="single"/>
          <w:lang w:eastAsia="es-ES"/>
        </w:rPr>
        <w:t>para establecer así la responsabilidad directa del Estado sin necesidad de probar previamente que el daño se produjo por culpa del funcionario o de la Administración</w:t>
      </w:r>
      <w:r w:rsidRPr="00951B99">
        <w:rPr>
          <w:rFonts w:ascii="Times New Roman" w:eastAsia="Times New Roman" w:hAnsi="Times New Roman" w:cs="Times New Roman"/>
          <w:bCs/>
          <w:i/>
          <w:iCs/>
          <w:color w:val="000000"/>
          <w:kern w:val="36"/>
          <w:sz w:val="24"/>
          <w:szCs w:val="24"/>
          <w:u w:val="single"/>
          <w:lang w:eastAsia="es-ES"/>
        </w:rPr>
        <w:t xml:space="preserve"> </w:t>
      </w:r>
      <w:r w:rsidRPr="00951B99">
        <w:rPr>
          <w:rFonts w:ascii="Times New Roman" w:eastAsia="Times New Roman" w:hAnsi="Times New Roman" w:cs="Times New Roman"/>
          <w:bCs/>
          <w:i/>
          <w:iCs/>
          <w:color w:val="000000"/>
          <w:kern w:val="36"/>
          <w:sz w:val="24"/>
          <w:szCs w:val="24"/>
          <w:lang w:eastAsia="es-ES"/>
        </w:rPr>
        <w:t xml:space="preserve">, exigiendo para la procedencia de la indemnización que el daño sufrido sea efectivo, evaluable e individualizable en relación con una persona o grupo -artículo 196-.   </w:t>
      </w:r>
      <w:r w:rsidRPr="0060791A">
        <w:rPr>
          <w:rFonts w:ascii="Times New Roman" w:eastAsia="Times New Roman" w:hAnsi="Times New Roman" w:cs="Times New Roman"/>
          <w:b/>
          <w:bCs/>
          <w:i/>
          <w:iCs/>
          <w:color w:val="000000"/>
          <w:kern w:val="36"/>
          <w:sz w:val="24"/>
          <w:szCs w:val="24"/>
          <w:u w:val="single"/>
          <w:lang w:eastAsia="es-ES"/>
        </w:rPr>
        <w:t>Estableció que la Administración sería responsable por todos los daños que causara su funcionamiento legítimo o ilegítimo, normal o anormal, salvo fuerza mayor, culpa de la víctima o hecho de un tercero</w:t>
      </w:r>
      <w:r w:rsidRPr="00951B99">
        <w:rPr>
          <w:rFonts w:ascii="Times New Roman" w:eastAsia="Times New Roman" w:hAnsi="Times New Roman" w:cs="Times New Roman"/>
          <w:bCs/>
          <w:i/>
          <w:iCs/>
          <w:color w:val="000000"/>
          <w:kern w:val="36"/>
          <w:sz w:val="24"/>
          <w:szCs w:val="24"/>
          <w:u w:val="single"/>
          <w:lang w:eastAsia="es-ES"/>
        </w:rPr>
        <w:t xml:space="preserve"> </w:t>
      </w:r>
      <w:r w:rsidRPr="00951B99">
        <w:rPr>
          <w:rFonts w:ascii="Times New Roman" w:eastAsia="Times New Roman" w:hAnsi="Times New Roman" w:cs="Times New Roman"/>
          <w:bCs/>
          <w:i/>
          <w:iCs/>
          <w:color w:val="000000"/>
          <w:kern w:val="36"/>
          <w:sz w:val="24"/>
          <w:szCs w:val="24"/>
          <w:lang w:eastAsia="es-ES"/>
        </w:rPr>
        <w:t xml:space="preserve">-artículo 190-; y la obligación de reparar todo daño causado a los derechos subjetivos ajenos por faltas de sus servidores cometidas durante el desempeño de los deberes del cargo o con ocasión del </w:t>
      </w:r>
      <w:r w:rsidRPr="00951B99">
        <w:rPr>
          <w:rFonts w:ascii="Times New Roman" w:eastAsia="Times New Roman" w:hAnsi="Times New Roman" w:cs="Times New Roman"/>
          <w:bCs/>
          <w:i/>
          <w:iCs/>
          <w:color w:val="000000"/>
          <w:kern w:val="36"/>
          <w:sz w:val="24"/>
          <w:szCs w:val="24"/>
          <w:lang w:eastAsia="es-ES"/>
        </w:rPr>
        <w:lastRenderedPageBreak/>
        <w:t xml:space="preserve">mismo, utilizando las oportunidades o medios que ofrece, </w:t>
      </w:r>
      <w:proofErr w:type="spellStart"/>
      <w:r w:rsidRPr="00951B99">
        <w:rPr>
          <w:rFonts w:ascii="Times New Roman" w:eastAsia="Times New Roman" w:hAnsi="Times New Roman" w:cs="Times New Roman"/>
          <w:bCs/>
          <w:i/>
          <w:iCs/>
          <w:color w:val="000000"/>
          <w:kern w:val="36"/>
          <w:sz w:val="24"/>
          <w:szCs w:val="24"/>
          <w:lang w:eastAsia="es-ES"/>
        </w:rPr>
        <w:t>aún</w:t>
      </w:r>
      <w:proofErr w:type="spellEnd"/>
      <w:r w:rsidRPr="00951B99">
        <w:rPr>
          <w:rFonts w:ascii="Times New Roman" w:eastAsia="Times New Roman" w:hAnsi="Times New Roman" w:cs="Times New Roman"/>
          <w:bCs/>
          <w:i/>
          <w:iCs/>
          <w:color w:val="000000"/>
          <w:kern w:val="36"/>
          <w:sz w:val="24"/>
          <w:szCs w:val="24"/>
          <w:lang w:eastAsia="es-ES"/>
        </w:rPr>
        <w:t xml:space="preserve"> cuando sea para fines o actividades o actos extraños a dicha misión -artículo 191-...". (Lo subrayado no es del original).   En este mismo sentido, pueden consultarse, entre muchas otras, las sentencias de esta Sala números 138 de las 15:05 hrs. del 23 de agosto; 192 de las 14:15 hrs. del 6 de noviembre, ambas de 1991; 48 de las 14:10 hrs. del 29 de mayo de 1996 y 55 de las 14:30 hrs. del 4 de julio de 1997.)   </w:t>
      </w:r>
      <w:r w:rsidRPr="0060791A">
        <w:rPr>
          <w:rFonts w:ascii="Times New Roman" w:eastAsia="Times New Roman" w:hAnsi="Times New Roman" w:cs="Times New Roman"/>
          <w:b/>
          <w:bCs/>
          <w:i/>
          <w:iCs/>
          <w:color w:val="000000"/>
          <w:kern w:val="36"/>
          <w:sz w:val="24"/>
          <w:szCs w:val="24"/>
          <w:lang w:eastAsia="es-ES"/>
        </w:rPr>
        <w:t xml:space="preserve">A la luz de lo dispuesto en dichos precedentes, y como bien lo dispuso del A-quo, nuestro ordenamiento jurídico, a partir de la Ley General de la Administración Pública, adopta el sistema de responsabilidad objetiva de la Administración Pública.   Por ello, no es necesaria la existencia -y, por ende, su demostración-, del dolo o la culpa o, en general, una falta subjetiva imputable a los servidores o funcionarios públicos para que surja el deber de resarcir los daños y perjuicios causados por su funcionamiento.   Además establece, en forma taxativa, como causas eximentes de esa responsabilidad, la fuerza mayor, la culpa de la víctima y el hecho de un tercero, correspondiéndole a la Administración acreditar su existencia, lo cual no sucedió en el sub-júdice. </w:t>
      </w:r>
      <w:r w:rsidRPr="00951B99">
        <w:rPr>
          <w:rFonts w:ascii="Times New Roman" w:eastAsia="Times New Roman" w:hAnsi="Times New Roman" w:cs="Times New Roman"/>
          <w:bCs/>
          <w:i/>
          <w:iCs/>
          <w:color w:val="000000"/>
          <w:kern w:val="36"/>
          <w:sz w:val="24"/>
          <w:szCs w:val="24"/>
          <w:lang w:eastAsia="es-ES"/>
        </w:rPr>
        <w:t>(</w:t>
      </w:r>
      <w:proofErr w:type="gramStart"/>
      <w:r w:rsidRPr="00951B99">
        <w:rPr>
          <w:rFonts w:ascii="Times New Roman" w:eastAsia="Times New Roman" w:hAnsi="Times New Roman" w:cs="Times New Roman"/>
          <w:bCs/>
          <w:i/>
          <w:iCs/>
          <w:color w:val="000000"/>
          <w:kern w:val="36"/>
          <w:sz w:val="24"/>
          <w:szCs w:val="24"/>
          <w:lang w:eastAsia="es-ES"/>
        </w:rPr>
        <w:t>sentencia</w:t>
      </w:r>
      <w:proofErr w:type="gramEnd"/>
      <w:r w:rsidRPr="00951B99">
        <w:rPr>
          <w:rFonts w:ascii="Times New Roman" w:eastAsia="Times New Roman" w:hAnsi="Times New Roman" w:cs="Times New Roman"/>
          <w:bCs/>
          <w:i/>
          <w:iCs/>
          <w:color w:val="000000"/>
          <w:kern w:val="36"/>
          <w:sz w:val="24"/>
          <w:szCs w:val="24"/>
          <w:lang w:eastAsia="es-ES"/>
        </w:rPr>
        <w:t xml:space="preserve"> de </w:t>
      </w:r>
      <w:r w:rsidRPr="00951B99">
        <w:rPr>
          <w:rFonts w:ascii="Times New Roman" w:eastAsia="Times New Roman" w:hAnsi="Times New Roman" w:cs="Times New Roman"/>
          <w:bCs/>
          <w:i/>
          <w:iCs/>
          <w:color w:val="000000"/>
          <w:kern w:val="36"/>
          <w:sz w:val="24"/>
          <w:szCs w:val="24"/>
          <w:u w:val="single"/>
          <w:lang w:eastAsia="es-ES"/>
        </w:rPr>
        <w:t xml:space="preserve">SALA PRIMERA DE LA CORTE SUPREMA DE JUSTICIA. </w:t>
      </w:r>
      <w:r w:rsidRPr="00BA7BE0">
        <w:rPr>
          <w:rFonts w:ascii="Times New Roman" w:eastAsia="Times New Roman" w:hAnsi="Times New Roman" w:cs="Times New Roman"/>
          <w:bCs/>
          <w:i/>
          <w:iCs/>
          <w:color w:val="000000"/>
          <w:kern w:val="36"/>
          <w:sz w:val="24"/>
          <w:szCs w:val="24"/>
          <w:lang w:eastAsia="es-ES"/>
        </w:rPr>
        <w:t>  </w:t>
      </w:r>
      <w:r w:rsidRPr="00951B99">
        <w:rPr>
          <w:rFonts w:ascii="Times New Roman" w:eastAsia="Times New Roman" w:hAnsi="Times New Roman" w:cs="Times New Roman"/>
          <w:bCs/>
          <w:i/>
          <w:iCs/>
          <w:color w:val="000000"/>
          <w:kern w:val="36"/>
          <w:sz w:val="24"/>
          <w:szCs w:val="24"/>
          <w:lang w:eastAsia="es-ES"/>
        </w:rPr>
        <w:t xml:space="preserve">025-F-99, a las catorce horas quince minutos del veintidós de enero de mil novecientos noventa y nueve). (En igual sentido puede verse las sentencias </w:t>
      </w:r>
      <w:r w:rsidRPr="00951B99">
        <w:rPr>
          <w:rFonts w:ascii="Times New Roman" w:eastAsia="Times New Roman" w:hAnsi="Times New Roman" w:cs="Times New Roman"/>
          <w:bCs/>
          <w:i/>
          <w:iCs/>
          <w:color w:val="000000"/>
          <w:kern w:val="36"/>
          <w:sz w:val="24"/>
          <w:szCs w:val="24"/>
          <w:lang w:val="es-MX" w:eastAsia="es-ES"/>
        </w:rPr>
        <w:t xml:space="preserve">de esta misma Sala </w:t>
      </w:r>
      <w:r w:rsidRPr="00951B99">
        <w:rPr>
          <w:rFonts w:ascii="Times New Roman" w:eastAsia="Times New Roman" w:hAnsi="Times New Roman" w:cs="Times New Roman"/>
          <w:bCs/>
          <w:i/>
          <w:iCs/>
          <w:color w:val="000000"/>
          <w:kern w:val="36"/>
          <w:sz w:val="24"/>
          <w:szCs w:val="24"/>
          <w:lang w:eastAsia="es-ES"/>
        </w:rPr>
        <w:t xml:space="preserve">N°. 589-F-99 de 14:20 horas del 1º octubre de 1999 y </w:t>
      </w:r>
      <w:r w:rsidRPr="00951B99">
        <w:rPr>
          <w:rFonts w:ascii="Times New Roman" w:eastAsia="Times New Roman" w:hAnsi="Times New Roman" w:cs="Times New Roman"/>
          <w:bCs/>
          <w:i/>
          <w:iCs/>
          <w:color w:val="000000"/>
          <w:kern w:val="36"/>
          <w:sz w:val="24"/>
          <w:szCs w:val="24"/>
          <w:lang w:val="es-MX" w:eastAsia="es-ES"/>
        </w:rPr>
        <w:t xml:space="preserve">N° 252-F-01, de las 16 horas 15 minutos del 28 de marzo del 2001 </w:t>
      </w:r>
      <w:r w:rsidRPr="00951B99">
        <w:rPr>
          <w:rFonts w:ascii="Times New Roman" w:eastAsia="Times New Roman" w:hAnsi="Times New Roman" w:cs="Times New Roman"/>
          <w:bCs/>
          <w:i/>
          <w:iCs/>
          <w:color w:val="000000"/>
          <w:kern w:val="36"/>
          <w:sz w:val="24"/>
          <w:szCs w:val="24"/>
          <w:lang w:eastAsia="es-ES"/>
        </w:rPr>
        <w:t>)</w:t>
      </w:r>
      <w:r w:rsidR="00BA7BE0">
        <w:rPr>
          <w:rFonts w:ascii="Times New Roman" w:eastAsia="Times New Roman" w:hAnsi="Times New Roman" w:cs="Times New Roman"/>
          <w:bCs/>
          <w:i/>
          <w:iCs/>
          <w:color w:val="000000"/>
          <w:kern w:val="36"/>
          <w:sz w:val="24"/>
          <w:szCs w:val="24"/>
          <w:lang w:eastAsia="es-ES"/>
        </w:rPr>
        <w:t>..”</w:t>
      </w:r>
    </w:p>
    <w:p w:rsidR="001D4D41" w:rsidRPr="00951B99" w:rsidRDefault="003C065A" w:rsidP="001D4D41">
      <w:pPr>
        <w:widowControl w:val="0"/>
        <w:spacing w:before="100" w:beforeAutospacing="1" w:after="100" w:afterAutospacing="1" w:line="240" w:lineRule="auto"/>
        <w:ind w:firstLine="708"/>
        <w:jc w:val="both"/>
        <w:rPr>
          <w:rFonts w:ascii="Times New Roman" w:eastAsia="Times New Roman" w:hAnsi="Times New Roman" w:cs="Times New Roman"/>
          <w:iCs/>
          <w:color w:val="000000"/>
          <w:spacing w:val="-3"/>
          <w:sz w:val="24"/>
          <w:szCs w:val="24"/>
          <w:lang w:val="es-ES_tradnl" w:eastAsia="es-ES"/>
        </w:rPr>
      </w:pPr>
      <w:r w:rsidRPr="00BA7BE0">
        <w:rPr>
          <w:rFonts w:ascii="Times New Roman" w:eastAsia="Times New Roman" w:hAnsi="Times New Roman" w:cs="Times New Roman"/>
          <w:iCs/>
          <w:color w:val="000000"/>
          <w:spacing w:val="-3"/>
          <w:sz w:val="24"/>
          <w:szCs w:val="24"/>
          <w:lang w:val="es-ES_tradnl" w:eastAsia="es-ES"/>
        </w:rPr>
        <w:t>Má</w:t>
      </w:r>
      <w:r w:rsidR="001D4D41" w:rsidRPr="00BA7BE0">
        <w:rPr>
          <w:rFonts w:ascii="Times New Roman" w:eastAsia="Times New Roman" w:hAnsi="Times New Roman" w:cs="Times New Roman"/>
          <w:iCs/>
          <w:color w:val="000000"/>
          <w:spacing w:val="-3"/>
          <w:sz w:val="24"/>
          <w:szCs w:val="24"/>
          <w:lang w:val="es-ES_tradnl" w:eastAsia="es-ES"/>
        </w:rPr>
        <w:t>s recientemente la Sala dijo:</w:t>
      </w:r>
    </w:p>
    <w:p w:rsidR="00951B99" w:rsidRPr="003C065A" w:rsidRDefault="001D4D41" w:rsidP="003C065A">
      <w:pPr>
        <w:widowControl w:val="0"/>
        <w:spacing w:before="100" w:beforeAutospacing="1" w:after="100" w:afterAutospacing="1" w:line="240" w:lineRule="auto"/>
        <w:jc w:val="both"/>
        <w:rPr>
          <w:rFonts w:ascii="Times New Roman" w:eastAsia="Times New Roman" w:hAnsi="Times New Roman" w:cs="Times New Roman"/>
          <w:snapToGrid w:val="0"/>
          <w:color w:val="000000"/>
          <w:sz w:val="24"/>
          <w:szCs w:val="24"/>
          <w:lang w:val="es-MX" w:eastAsia="es-ES"/>
        </w:rPr>
      </w:pPr>
      <w:r>
        <w:rPr>
          <w:rFonts w:ascii="Times New Roman" w:eastAsia="Times New Roman" w:hAnsi="Times New Roman" w:cs="Times New Roman"/>
          <w:iCs/>
          <w:color w:val="000000"/>
          <w:sz w:val="24"/>
          <w:szCs w:val="24"/>
          <w:lang w:val="es-MX" w:eastAsia="es-ES"/>
        </w:rPr>
        <w:tab/>
        <w:t xml:space="preserve">“… </w:t>
      </w:r>
      <w:r w:rsidR="00951B99" w:rsidRPr="00951B99">
        <w:rPr>
          <w:rFonts w:ascii="Times New Roman" w:eastAsia="Times New Roman" w:hAnsi="Times New Roman" w:cs="Times New Roman"/>
          <w:b/>
          <w:bCs/>
          <w:iCs/>
          <w:color w:val="000000"/>
          <w:sz w:val="24"/>
          <w:szCs w:val="24"/>
          <w:lang w:eastAsia="es-ES"/>
        </w:rPr>
        <w:t xml:space="preserve"> </w:t>
      </w:r>
      <w:r w:rsidR="00951B99" w:rsidRPr="00893562">
        <w:rPr>
          <w:rFonts w:ascii="Times New Roman" w:eastAsia="Times New Roman" w:hAnsi="Times New Roman" w:cs="Times New Roman"/>
          <w:b/>
          <w:i/>
          <w:iCs/>
          <w:color w:val="000000"/>
          <w:sz w:val="24"/>
          <w:szCs w:val="24"/>
          <w:lang w:eastAsia="es-ES"/>
        </w:rPr>
        <w:t>La responsabilidad civil extracontractual de la Administración Pública, se enmarca, por tanto, dentro de un régimen objetivo, que engloba en su fundamento tanto la teoría del riesgo, cuanto la teoría del equilibrio en la ecuación patrimonial</w:t>
      </w:r>
      <w:r w:rsidR="00951B99" w:rsidRPr="00951B99">
        <w:rPr>
          <w:rFonts w:ascii="Times New Roman" w:eastAsia="Times New Roman" w:hAnsi="Times New Roman" w:cs="Times New Roman"/>
          <w:i/>
          <w:iCs/>
          <w:color w:val="000000"/>
          <w:sz w:val="24"/>
          <w:szCs w:val="24"/>
          <w:lang w:eastAsia="es-ES"/>
        </w:rPr>
        <w:t>. Con ello se procura esencialmente, la reparación indemnizatoria a quien ha sufrido una lesión atribuible a la organización pública como centro de autoridad</w:t>
      </w:r>
      <w:r w:rsidR="00951B99" w:rsidRPr="00893562">
        <w:rPr>
          <w:rFonts w:ascii="Times New Roman" w:eastAsia="Times New Roman" w:hAnsi="Times New Roman" w:cs="Times New Roman"/>
          <w:b/>
          <w:i/>
          <w:iCs/>
          <w:color w:val="000000"/>
          <w:sz w:val="24"/>
          <w:szCs w:val="24"/>
          <w:lang w:eastAsia="es-ES"/>
        </w:rPr>
        <w:t>. Este criterio finalista produce a su vez, una transformación plena en el eje central de la responsabilidad misma, pues abandona la observación analítica del sujeto productor del daño y la calificación de su conducta, para ubicarse en la posición de la víctima, que menguada en su situación jurídica, queda eximida en la comprobación de cualquier parámetro subjetivo del agente público actuante (salvo en lo que a su responsabilidad personal se refiere).</w:t>
      </w:r>
      <w:r w:rsidR="00951B99" w:rsidRPr="00951B99">
        <w:rPr>
          <w:rFonts w:ascii="Times New Roman" w:eastAsia="Times New Roman" w:hAnsi="Times New Roman" w:cs="Times New Roman"/>
          <w:i/>
          <w:iCs/>
          <w:color w:val="000000"/>
          <w:sz w:val="24"/>
          <w:szCs w:val="24"/>
          <w:lang w:eastAsia="es-ES"/>
        </w:rPr>
        <w:t xml:space="preserve"> Esto ocasiona, sin duda, un giro en el enfoque mismo de su </w:t>
      </w:r>
      <w:r w:rsidR="00951B99" w:rsidRPr="00893562">
        <w:rPr>
          <w:rFonts w:ascii="Times New Roman" w:eastAsia="Times New Roman" w:hAnsi="Times New Roman" w:cs="Times New Roman"/>
          <w:b/>
          <w:i/>
          <w:iCs/>
          <w:color w:val="000000"/>
          <w:sz w:val="24"/>
          <w:szCs w:val="24"/>
          <w:lang w:eastAsia="es-ES"/>
        </w:rPr>
        <w:t>fundamento</w:t>
      </w:r>
      <w:r w:rsidR="00951B99" w:rsidRPr="00951B99">
        <w:rPr>
          <w:rFonts w:ascii="Times New Roman" w:eastAsia="Times New Roman" w:hAnsi="Times New Roman" w:cs="Times New Roman"/>
          <w:i/>
          <w:iCs/>
          <w:color w:val="000000"/>
          <w:sz w:val="24"/>
          <w:szCs w:val="24"/>
          <w:lang w:eastAsia="es-ES"/>
        </w:rPr>
        <w:t>, ya que habrá responsabilidad de la Administración siempre que su funcionamiento normal o anormal, cause un daño que la víctima no tenga el deber de soportar, ya sea patrimonial o extrapatrimonial, con independencia de su situación jurídica subjetiva y la titularidad o condición de poder que ostente, cumpliendo claro está, con el presupuesto im</w:t>
      </w:r>
      <w:r w:rsidRPr="003C065A">
        <w:rPr>
          <w:rFonts w:ascii="Times New Roman" w:eastAsia="Times New Roman" w:hAnsi="Times New Roman" w:cs="Times New Roman"/>
          <w:i/>
          <w:iCs/>
          <w:color w:val="000000"/>
          <w:sz w:val="24"/>
          <w:szCs w:val="24"/>
          <w:lang w:eastAsia="es-ES"/>
        </w:rPr>
        <w:t>prescindible del nexo causal.  </w:t>
      </w:r>
      <w:r w:rsidR="00951B99" w:rsidRPr="00951B99">
        <w:rPr>
          <w:rFonts w:ascii="Times New Roman" w:eastAsia="Times New Roman" w:hAnsi="Times New Roman" w:cs="Times New Roman"/>
          <w:i/>
          <w:iCs/>
          <w:color w:val="000000"/>
          <w:sz w:val="24"/>
          <w:szCs w:val="24"/>
          <w:lang w:eastAsia="es-ES"/>
        </w:rPr>
        <w:t>A partir de allí, es patente la reversión de los componentes y los efectos del instituto en pleno. Tanto los presupuestos esenciales como la carga de la prueba, adquieren por ejemplo un nuevo matiz, que libera al afectado no solo de amarras sustanciales sino también procesales, y coloca a la Administración en la obligada descarga frente a los cargos y hechos que se le imputan</w:t>
      </w:r>
      <w:r w:rsidR="003C065A">
        <w:rPr>
          <w:rFonts w:ascii="Times New Roman" w:eastAsia="Times New Roman" w:hAnsi="Times New Roman" w:cs="Times New Roman"/>
          <w:i/>
          <w:iCs/>
          <w:color w:val="000000"/>
          <w:sz w:val="24"/>
          <w:szCs w:val="24"/>
          <w:lang w:eastAsia="es-ES"/>
        </w:rPr>
        <w:t>…”</w:t>
      </w:r>
      <w:r w:rsidR="003C065A" w:rsidRPr="003C065A">
        <w:rPr>
          <w:rFonts w:ascii="Times New Roman" w:eastAsia="Times New Roman" w:hAnsi="Times New Roman" w:cs="Times New Roman"/>
          <w:bCs/>
          <w:snapToGrid w:val="0"/>
          <w:color w:val="000000"/>
          <w:sz w:val="24"/>
          <w:szCs w:val="24"/>
          <w:lang w:val="es-MX" w:eastAsia="es-ES"/>
        </w:rPr>
        <w:t xml:space="preserve"> </w:t>
      </w:r>
      <w:r w:rsidR="003C065A">
        <w:rPr>
          <w:rFonts w:ascii="Times New Roman" w:eastAsia="Times New Roman" w:hAnsi="Times New Roman" w:cs="Times New Roman"/>
          <w:bCs/>
          <w:snapToGrid w:val="0"/>
          <w:color w:val="000000"/>
          <w:sz w:val="24"/>
          <w:szCs w:val="24"/>
          <w:lang w:val="es-MX" w:eastAsia="es-ES"/>
        </w:rPr>
        <w:t xml:space="preserve">(Sala Primera de la Corte Suprema de Justicia. Nº 000584-F-2005 de las 10,40 </w:t>
      </w:r>
      <w:r w:rsidR="003C065A" w:rsidRPr="003C065A">
        <w:rPr>
          <w:rFonts w:ascii="Times New Roman" w:eastAsia="Times New Roman" w:hAnsi="Times New Roman" w:cs="Times New Roman"/>
          <w:snapToGrid w:val="0"/>
          <w:color w:val="000000"/>
          <w:sz w:val="24"/>
          <w:szCs w:val="24"/>
          <w:lang w:val="es-MX" w:eastAsia="es-ES"/>
        </w:rPr>
        <w:t xml:space="preserve"> hrs.</w:t>
      </w:r>
      <w:r w:rsidR="003C065A" w:rsidRPr="00951B99">
        <w:rPr>
          <w:rFonts w:ascii="Times New Roman" w:eastAsia="Times New Roman" w:hAnsi="Times New Roman" w:cs="Times New Roman"/>
          <w:snapToGrid w:val="0"/>
          <w:color w:val="000000"/>
          <w:sz w:val="24"/>
          <w:szCs w:val="24"/>
          <w:lang w:val="es-MX" w:eastAsia="es-ES"/>
        </w:rPr>
        <w:t xml:space="preserve"> del </w:t>
      </w:r>
      <w:r w:rsidR="003C065A" w:rsidRPr="003C065A">
        <w:rPr>
          <w:rFonts w:ascii="Times New Roman" w:eastAsia="Times New Roman" w:hAnsi="Times New Roman" w:cs="Times New Roman"/>
          <w:snapToGrid w:val="0"/>
          <w:color w:val="000000"/>
          <w:sz w:val="24"/>
          <w:szCs w:val="24"/>
          <w:lang w:val="es-MX" w:eastAsia="es-ES"/>
        </w:rPr>
        <w:t>11</w:t>
      </w:r>
      <w:r w:rsidR="003C065A" w:rsidRPr="00951B99">
        <w:rPr>
          <w:rFonts w:ascii="Times New Roman" w:eastAsia="Times New Roman" w:hAnsi="Times New Roman" w:cs="Times New Roman"/>
          <w:snapToGrid w:val="0"/>
          <w:color w:val="000000"/>
          <w:sz w:val="24"/>
          <w:szCs w:val="24"/>
          <w:lang w:val="es-MX" w:eastAsia="es-ES"/>
        </w:rPr>
        <w:t xml:space="preserve"> de agosto del </w:t>
      </w:r>
      <w:r w:rsidR="003C065A" w:rsidRPr="003C065A">
        <w:rPr>
          <w:rFonts w:ascii="Times New Roman" w:eastAsia="Times New Roman" w:hAnsi="Times New Roman" w:cs="Times New Roman"/>
          <w:snapToGrid w:val="0"/>
          <w:color w:val="000000"/>
          <w:sz w:val="24"/>
          <w:szCs w:val="24"/>
          <w:lang w:val="es-MX" w:eastAsia="es-ES"/>
        </w:rPr>
        <w:t>2005</w:t>
      </w:r>
      <w:r w:rsidR="003C065A" w:rsidRPr="00951B99">
        <w:rPr>
          <w:rFonts w:ascii="Times New Roman" w:eastAsia="Times New Roman" w:hAnsi="Times New Roman" w:cs="Times New Roman"/>
          <w:snapToGrid w:val="0"/>
          <w:color w:val="000000"/>
          <w:sz w:val="24"/>
          <w:szCs w:val="24"/>
          <w:lang w:val="es-MX" w:eastAsia="es-ES"/>
        </w:rPr>
        <w:t xml:space="preserve">. </w:t>
      </w:r>
      <w:r w:rsidR="003C065A">
        <w:rPr>
          <w:rFonts w:ascii="Times New Roman" w:eastAsia="Times New Roman" w:hAnsi="Times New Roman" w:cs="Times New Roman"/>
          <w:snapToGrid w:val="0"/>
          <w:color w:val="000000"/>
          <w:sz w:val="24"/>
          <w:szCs w:val="24"/>
          <w:lang w:val="es-MX" w:eastAsia="es-ES"/>
        </w:rPr>
        <w:t>)</w:t>
      </w:r>
    </w:p>
    <w:p w:rsidR="003C065A" w:rsidRPr="00BA7BE0" w:rsidRDefault="003C065A" w:rsidP="003C065A">
      <w:pPr>
        <w:tabs>
          <w:tab w:val="left" w:pos="900"/>
        </w:tabs>
        <w:spacing w:before="100" w:beforeAutospacing="1" w:after="100" w:afterAutospacing="1" w:line="240" w:lineRule="auto"/>
        <w:jc w:val="both"/>
        <w:rPr>
          <w:rFonts w:ascii="Times New Roman" w:eastAsia="Times New Roman" w:hAnsi="Times New Roman" w:cs="Times New Roman"/>
          <w:iCs/>
          <w:color w:val="000000"/>
          <w:sz w:val="24"/>
          <w:szCs w:val="24"/>
          <w:lang w:eastAsia="es-ES"/>
        </w:rPr>
      </w:pPr>
      <w:r>
        <w:rPr>
          <w:rFonts w:ascii="Times New Roman" w:eastAsia="Times New Roman" w:hAnsi="Times New Roman" w:cs="Times New Roman"/>
          <w:i/>
          <w:iCs/>
          <w:color w:val="000000"/>
          <w:sz w:val="24"/>
          <w:szCs w:val="24"/>
          <w:lang w:eastAsia="es-ES"/>
        </w:rPr>
        <w:tab/>
      </w:r>
      <w:r w:rsidRPr="003C065A">
        <w:rPr>
          <w:rFonts w:ascii="Times New Roman" w:eastAsia="Times New Roman" w:hAnsi="Times New Roman" w:cs="Times New Roman"/>
          <w:iCs/>
          <w:color w:val="000000"/>
          <w:sz w:val="24"/>
          <w:szCs w:val="24"/>
          <w:lang w:eastAsia="es-ES"/>
        </w:rPr>
        <w:t>En esa misma sentencia la Sala se refirió al</w:t>
      </w:r>
      <w:r>
        <w:rPr>
          <w:rFonts w:ascii="Times New Roman" w:eastAsia="Times New Roman" w:hAnsi="Times New Roman" w:cs="Times New Roman"/>
          <w:i/>
          <w:iCs/>
          <w:color w:val="000000"/>
          <w:sz w:val="24"/>
          <w:szCs w:val="24"/>
          <w:lang w:eastAsia="es-ES"/>
        </w:rPr>
        <w:t xml:space="preserve"> </w:t>
      </w:r>
      <w:r>
        <w:rPr>
          <w:rFonts w:ascii="Verdana" w:eastAsia="Times New Roman" w:hAnsi="Verdana" w:cs="Times New Roman"/>
          <w:b/>
          <w:bCs/>
          <w:i/>
          <w:color w:val="000000"/>
          <w:kern w:val="36"/>
          <w:sz w:val="20"/>
          <w:szCs w:val="20"/>
          <w:lang w:eastAsia="es-ES"/>
        </w:rPr>
        <w:t xml:space="preserve"> </w:t>
      </w:r>
      <w:r w:rsidR="00BA7BE0">
        <w:rPr>
          <w:rFonts w:ascii="Times New Roman" w:eastAsia="Times New Roman" w:hAnsi="Times New Roman" w:cs="Times New Roman"/>
          <w:b/>
          <w:bCs/>
          <w:iCs/>
          <w:color w:val="000000"/>
          <w:sz w:val="24"/>
          <w:szCs w:val="24"/>
          <w:lang w:val="es-MX" w:eastAsia="es-ES"/>
        </w:rPr>
        <w:t>fundamento c</w:t>
      </w:r>
      <w:r>
        <w:rPr>
          <w:rFonts w:ascii="Times New Roman" w:eastAsia="Times New Roman" w:hAnsi="Times New Roman" w:cs="Times New Roman"/>
          <w:b/>
          <w:bCs/>
          <w:iCs/>
          <w:color w:val="000000"/>
          <w:sz w:val="24"/>
          <w:szCs w:val="24"/>
          <w:lang w:val="es-MX" w:eastAsia="es-ES"/>
        </w:rPr>
        <w:t>onstitucional de la responsabilidad o</w:t>
      </w:r>
      <w:r w:rsidR="00951B99" w:rsidRPr="00951B99">
        <w:rPr>
          <w:rFonts w:ascii="Times New Roman" w:eastAsia="Times New Roman" w:hAnsi="Times New Roman" w:cs="Times New Roman"/>
          <w:b/>
          <w:bCs/>
          <w:iCs/>
          <w:color w:val="000000"/>
          <w:sz w:val="24"/>
          <w:szCs w:val="24"/>
          <w:lang w:val="es-MX" w:eastAsia="es-ES"/>
        </w:rPr>
        <w:t>bjeti</w:t>
      </w:r>
      <w:r>
        <w:rPr>
          <w:rFonts w:ascii="Times New Roman" w:eastAsia="Times New Roman" w:hAnsi="Times New Roman" w:cs="Times New Roman"/>
          <w:b/>
          <w:bCs/>
          <w:iCs/>
          <w:color w:val="000000"/>
          <w:sz w:val="24"/>
          <w:szCs w:val="24"/>
          <w:lang w:val="es-MX" w:eastAsia="es-ES"/>
        </w:rPr>
        <w:t>va</w:t>
      </w:r>
      <w:r w:rsidRPr="00BA7BE0">
        <w:rPr>
          <w:rFonts w:ascii="Times New Roman" w:eastAsia="Times New Roman" w:hAnsi="Times New Roman" w:cs="Times New Roman"/>
          <w:bCs/>
          <w:iCs/>
          <w:color w:val="000000"/>
          <w:sz w:val="24"/>
          <w:szCs w:val="24"/>
          <w:lang w:val="es-MX" w:eastAsia="es-ES"/>
        </w:rPr>
        <w:t>, apoyándose en la sentencia</w:t>
      </w:r>
      <w:r w:rsidR="00951B99" w:rsidRPr="00951B99">
        <w:rPr>
          <w:rFonts w:ascii="Times New Roman" w:eastAsia="Times New Roman" w:hAnsi="Times New Roman" w:cs="Times New Roman"/>
          <w:iCs/>
          <w:color w:val="000000"/>
          <w:sz w:val="24"/>
          <w:szCs w:val="24"/>
          <w:lang w:val="es-MX" w:eastAsia="es-ES"/>
        </w:rPr>
        <w:t xml:space="preserve"> de la Sala Constitucional. </w:t>
      </w:r>
      <w:r w:rsidR="00951B99" w:rsidRPr="00951B99">
        <w:rPr>
          <w:rFonts w:ascii="Times New Roman" w:eastAsia="Times New Roman" w:hAnsi="Times New Roman" w:cs="Times New Roman"/>
          <w:iCs/>
          <w:color w:val="000000"/>
          <w:sz w:val="24"/>
          <w:szCs w:val="24"/>
          <w:lang w:eastAsia="es-ES"/>
        </w:rPr>
        <w:t>N° 5207-2004, de las 14</w:t>
      </w:r>
      <w:r w:rsidRPr="00BA7BE0">
        <w:rPr>
          <w:rFonts w:ascii="Times New Roman" w:eastAsia="Times New Roman" w:hAnsi="Times New Roman" w:cs="Times New Roman"/>
          <w:iCs/>
          <w:color w:val="000000"/>
          <w:sz w:val="24"/>
          <w:szCs w:val="24"/>
          <w:lang w:eastAsia="es-ES"/>
        </w:rPr>
        <w:t>,55</w:t>
      </w:r>
      <w:r w:rsidR="00951B99" w:rsidRPr="00951B99">
        <w:rPr>
          <w:rFonts w:ascii="Times New Roman" w:eastAsia="Times New Roman" w:hAnsi="Times New Roman" w:cs="Times New Roman"/>
          <w:iCs/>
          <w:color w:val="000000"/>
          <w:sz w:val="24"/>
          <w:szCs w:val="24"/>
          <w:lang w:eastAsia="es-ES"/>
        </w:rPr>
        <w:t xml:space="preserve"> horas del 18 de mayo del 2004</w:t>
      </w:r>
      <w:r w:rsidRPr="00BA7BE0">
        <w:rPr>
          <w:rFonts w:ascii="Times New Roman" w:eastAsia="Times New Roman" w:hAnsi="Times New Roman" w:cs="Times New Roman"/>
          <w:iCs/>
          <w:color w:val="000000"/>
          <w:sz w:val="24"/>
          <w:szCs w:val="24"/>
          <w:lang w:eastAsia="es-ES"/>
        </w:rPr>
        <w:t>.</w:t>
      </w:r>
    </w:p>
    <w:p w:rsidR="003C065A" w:rsidRDefault="003C065A" w:rsidP="003C065A">
      <w:pPr>
        <w:tabs>
          <w:tab w:val="left" w:pos="900"/>
        </w:tabs>
        <w:spacing w:before="100" w:beforeAutospacing="1" w:after="100" w:afterAutospacing="1" w:line="240" w:lineRule="auto"/>
        <w:jc w:val="both"/>
        <w:rPr>
          <w:rFonts w:ascii="Times New Roman" w:eastAsia="Times New Roman" w:hAnsi="Times New Roman" w:cs="Times New Roman"/>
          <w:b/>
          <w:bCs/>
          <w:iCs/>
          <w:color w:val="000000"/>
          <w:sz w:val="24"/>
          <w:szCs w:val="24"/>
          <w:lang w:val="es-MX" w:eastAsia="es-ES"/>
        </w:rPr>
      </w:pPr>
      <w:r>
        <w:rPr>
          <w:rFonts w:ascii="Times New Roman" w:eastAsia="Times New Roman" w:hAnsi="Times New Roman" w:cs="Times New Roman"/>
          <w:iCs/>
          <w:color w:val="000000"/>
          <w:sz w:val="24"/>
          <w:szCs w:val="24"/>
          <w:lang w:eastAsia="es-ES"/>
        </w:rPr>
        <w:lastRenderedPageBreak/>
        <w:tab/>
        <w:t xml:space="preserve">Además incursionó en los llamados </w:t>
      </w:r>
      <w:r>
        <w:rPr>
          <w:rFonts w:ascii="Times New Roman" w:eastAsia="Times New Roman" w:hAnsi="Times New Roman" w:cs="Times New Roman"/>
          <w:b/>
          <w:bCs/>
          <w:iCs/>
          <w:color w:val="000000"/>
          <w:sz w:val="24"/>
          <w:szCs w:val="24"/>
          <w:lang w:val="es-MX" w:eastAsia="es-ES"/>
        </w:rPr>
        <w:t xml:space="preserve">parámetros de imputación legal </w:t>
      </w:r>
      <w:r w:rsidR="00BA7BE0" w:rsidRPr="00BA7BE0">
        <w:rPr>
          <w:rFonts w:ascii="Times New Roman" w:eastAsia="Times New Roman" w:hAnsi="Times New Roman" w:cs="Times New Roman"/>
          <w:bCs/>
          <w:iCs/>
          <w:color w:val="000000"/>
          <w:sz w:val="24"/>
          <w:szCs w:val="24"/>
          <w:lang w:val="es-MX" w:eastAsia="es-ES"/>
        </w:rPr>
        <w:t>y en el</w:t>
      </w:r>
      <w:r w:rsidR="00BA7BE0">
        <w:rPr>
          <w:rFonts w:ascii="Times New Roman" w:eastAsia="Times New Roman" w:hAnsi="Times New Roman" w:cs="Times New Roman"/>
          <w:b/>
          <w:bCs/>
          <w:iCs/>
          <w:color w:val="000000"/>
          <w:sz w:val="24"/>
          <w:szCs w:val="24"/>
          <w:lang w:val="es-MX" w:eastAsia="es-ES"/>
        </w:rPr>
        <w:t xml:space="preserve"> concepto</w:t>
      </w:r>
      <w:r>
        <w:rPr>
          <w:rFonts w:ascii="Times New Roman" w:eastAsia="Times New Roman" w:hAnsi="Times New Roman" w:cs="Times New Roman"/>
          <w:b/>
          <w:bCs/>
          <w:iCs/>
          <w:color w:val="000000"/>
          <w:sz w:val="24"/>
          <w:szCs w:val="24"/>
          <w:lang w:val="es-MX" w:eastAsia="es-ES"/>
        </w:rPr>
        <w:t xml:space="preserve"> </w:t>
      </w:r>
      <w:r w:rsidR="00951B99" w:rsidRPr="00951B99">
        <w:rPr>
          <w:rFonts w:ascii="Times New Roman" w:eastAsia="Times New Roman" w:hAnsi="Times New Roman" w:cs="Times New Roman"/>
          <w:b/>
          <w:bCs/>
          <w:iCs/>
          <w:color w:val="000000"/>
          <w:sz w:val="24"/>
          <w:szCs w:val="24"/>
          <w:lang w:val="es-MX" w:eastAsia="es-ES"/>
        </w:rPr>
        <w:t>de funcionamiento anormal y su</w:t>
      </w:r>
      <w:r>
        <w:rPr>
          <w:rFonts w:ascii="Times New Roman" w:eastAsia="Times New Roman" w:hAnsi="Times New Roman" w:cs="Times New Roman"/>
          <w:b/>
          <w:bCs/>
          <w:iCs/>
          <w:color w:val="000000"/>
          <w:sz w:val="24"/>
          <w:szCs w:val="24"/>
          <w:lang w:val="es-MX" w:eastAsia="es-ES"/>
        </w:rPr>
        <w:t xml:space="preserve"> distinción con figuras afines, afirmando:</w:t>
      </w:r>
    </w:p>
    <w:p w:rsidR="00F9249E" w:rsidRDefault="003C065A" w:rsidP="003C065A">
      <w:pPr>
        <w:tabs>
          <w:tab w:val="left" w:pos="900"/>
        </w:tabs>
        <w:spacing w:before="100" w:beforeAutospacing="1" w:after="100" w:afterAutospacing="1" w:line="240" w:lineRule="auto"/>
        <w:jc w:val="both"/>
        <w:rPr>
          <w:rFonts w:ascii="Times New Roman" w:eastAsia="Times New Roman" w:hAnsi="Times New Roman" w:cs="Times New Roman"/>
          <w:i/>
          <w:iCs/>
          <w:color w:val="000000"/>
          <w:sz w:val="24"/>
          <w:szCs w:val="24"/>
          <w:lang w:val="es-CR" w:eastAsia="es-ES"/>
        </w:rPr>
      </w:pPr>
      <w:r>
        <w:rPr>
          <w:rFonts w:ascii="Times New Roman" w:eastAsia="Times New Roman" w:hAnsi="Times New Roman" w:cs="Times New Roman"/>
          <w:b/>
          <w:bCs/>
          <w:iCs/>
          <w:color w:val="000000"/>
          <w:sz w:val="24"/>
          <w:szCs w:val="24"/>
          <w:lang w:val="es-MX" w:eastAsia="es-ES"/>
        </w:rPr>
        <w:tab/>
      </w:r>
      <w:r w:rsidRPr="00F9249E">
        <w:rPr>
          <w:rFonts w:ascii="Times New Roman" w:eastAsia="Times New Roman" w:hAnsi="Times New Roman" w:cs="Times New Roman"/>
          <w:b/>
          <w:bCs/>
          <w:i/>
          <w:iCs/>
          <w:color w:val="000000"/>
          <w:sz w:val="24"/>
          <w:szCs w:val="24"/>
          <w:lang w:val="es-MX" w:eastAsia="es-ES"/>
        </w:rPr>
        <w:t>“…</w:t>
      </w:r>
      <w:r w:rsidR="00951B99" w:rsidRPr="00951B99">
        <w:rPr>
          <w:rFonts w:ascii="Times New Roman" w:eastAsia="Times New Roman" w:hAnsi="Times New Roman" w:cs="Times New Roman"/>
          <w:b/>
          <w:bCs/>
          <w:i/>
          <w:iCs/>
          <w:color w:val="000000"/>
          <w:sz w:val="24"/>
          <w:szCs w:val="24"/>
          <w:lang w:val="es-MX" w:eastAsia="es-ES"/>
        </w:rPr>
        <w:t xml:space="preserve"> </w:t>
      </w:r>
      <w:r w:rsidR="00951B99" w:rsidRPr="00951B99">
        <w:rPr>
          <w:rFonts w:ascii="Times New Roman" w:eastAsia="Times New Roman" w:hAnsi="Times New Roman" w:cs="Times New Roman"/>
          <w:i/>
          <w:iCs/>
          <w:color w:val="000000"/>
          <w:sz w:val="24"/>
          <w:szCs w:val="24"/>
          <w:lang w:val="es-MX" w:eastAsia="es-ES"/>
        </w:rPr>
        <w:t>Las particularidades propias de la responsabilidad de la Administración Pública, generadas a través de su evolución gradual, así como el carácter objetivo alcanzado (todo ello con claro fundamento constitucional), no puede interpretarse tampoco como un deber resarcitorio, irrestricto y permanente, aplicable siempre y para t</w:t>
      </w:r>
      <w:r w:rsidRPr="00F9249E">
        <w:rPr>
          <w:rFonts w:ascii="Times New Roman" w:eastAsia="Times New Roman" w:hAnsi="Times New Roman" w:cs="Times New Roman"/>
          <w:i/>
          <w:iCs/>
          <w:color w:val="000000"/>
          <w:sz w:val="24"/>
          <w:szCs w:val="24"/>
          <w:lang w:val="es-MX" w:eastAsia="es-ES"/>
        </w:rPr>
        <w:t xml:space="preserve">odas las hipótesis de lesión. </w:t>
      </w:r>
      <w:r w:rsidR="00951B99" w:rsidRPr="00951B99">
        <w:rPr>
          <w:rFonts w:ascii="Times New Roman" w:eastAsia="Times New Roman" w:hAnsi="Times New Roman" w:cs="Times New Roman"/>
          <w:i/>
          <w:iCs/>
          <w:color w:val="000000"/>
          <w:sz w:val="24"/>
          <w:szCs w:val="24"/>
          <w:lang w:val="es-MX" w:eastAsia="es-ES"/>
        </w:rPr>
        <w:t>Sería inaudito un régimen de tal naturaleza y materialmente insoportable para cualquier Estado con recursos financieros limitados. Por ello se ha acudido a criterios de imputación que de alguna forma dimensionan (siempre dentro de la objetividad dicha) ese deber indemnizatorio origi</w:t>
      </w:r>
      <w:r w:rsidR="00F9249E" w:rsidRPr="00F9249E">
        <w:rPr>
          <w:rFonts w:ascii="Times New Roman" w:eastAsia="Times New Roman" w:hAnsi="Times New Roman" w:cs="Times New Roman"/>
          <w:i/>
          <w:iCs/>
          <w:color w:val="000000"/>
          <w:sz w:val="24"/>
          <w:szCs w:val="24"/>
          <w:lang w:val="es-MX" w:eastAsia="es-ES"/>
        </w:rPr>
        <w:t xml:space="preserve">nado por la conducta pública. </w:t>
      </w:r>
      <w:r w:rsidR="00951B99" w:rsidRPr="00951B99">
        <w:rPr>
          <w:rFonts w:ascii="Times New Roman" w:eastAsia="Times New Roman" w:hAnsi="Times New Roman" w:cs="Times New Roman"/>
          <w:i/>
          <w:iCs/>
          <w:color w:val="000000"/>
          <w:sz w:val="24"/>
          <w:szCs w:val="24"/>
          <w:lang w:val="es-MX" w:eastAsia="es-ES"/>
        </w:rPr>
        <w:t xml:space="preserve">De esta manera, el numeral 190 de nuestra Ley General de la Administración Pública refiere a “funcionamiento legítimo o ilegítimo, normal o anormal”, de donde la legitimidad o su antítesis, hace referencia básicamente a las conductas jurídicas de la Administración, mientras que lo normal o anormal, apunta, ante todo (pero no en exclusiva), a la conducta material de la Administración, representada entre otras, por la actividad prestacional que se atribuye al Estado como parte de la categoría social que también se le asigna en procura del bienestar general del colectivo. Nótese como el artículo 194 de la indicada ley, hace referencia a los “actos </w:t>
      </w:r>
      <w:proofErr w:type="gramStart"/>
      <w:r w:rsidR="00951B99" w:rsidRPr="00951B99">
        <w:rPr>
          <w:rFonts w:ascii="Times New Roman" w:eastAsia="Times New Roman" w:hAnsi="Times New Roman" w:cs="Times New Roman"/>
          <w:i/>
          <w:iCs/>
          <w:color w:val="000000"/>
          <w:sz w:val="24"/>
          <w:szCs w:val="24"/>
          <w:lang w:val="es-MX" w:eastAsia="es-ES"/>
        </w:rPr>
        <w:t>lícitos ”</w:t>
      </w:r>
      <w:proofErr w:type="gramEnd"/>
      <w:r w:rsidR="00951B99" w:rsidRPr="00951B99">
        <w:rPr>
          <w:rFonts w:ascii="Times New Roman" w:eastAsia="Times New Roman" w:hAnsi="Times New Roman" w:cs="Times New Roman"/>
          <w:i/>
          <w:iCs/>
          <w:color w:val="000000"/>
          <w:sz w:val="24"/>
          <w:szCs w:val="24"/>
          <w:lang w:val="es-MX" w:eastAsia="es-ES"/>
        </w:rPr>
        <w:t>, bajo la concepción de actividad jurídica, distinguiéndolos en la misma norma, de lo que califica como “funcionamiento normal”, enten</w:t>
      </w:r>
      <w:r w:rsidR="00BA7BE0">
        <w:rPr>
          <w:rFonts w:ascii="Times New Roman" w:eastAsia="Times New Roman" w:hAnsi="Times New Roman" w:cs="Times New Roman"/>
          <w:i/>
          <w:iCs/>
          <w:color w:val="000000"/>
          <w:sz w:val="24"/>
          <w:szCs w:val="24"/>
          <w:lang w:val="es-MX" w:eastAsia="es-ES"/>
        </w:rPr>
        <w:t xml:space="preserve">dido como actividad material. </w:t>
      </w:r>
      <w:r w:rsidR="00951B99" w:rsidRPr="00951B99">
        <w:rPr>
          <w:rFonts w:ascii="Times New Roman" w:eastAsia="Times New Roman" w:hAnsi="Times New Roman" w:cs="Times New Roman"/>
          <w:i/>
          <w:iCs/>
          <w:color w:val="000000"/>
          <w:sz w:val="24"/>
          <w:szCs w:val="24"/>
          <w:lang w:val="es-MX" w:eastAsia="es-ES"/>
        </w:rPr>
        <w:t xml:space="preserve">De esta manera, </w:t>
      </w:r>
      <w:r w:rsidR="00951B99" w:rsidRPr="00893562">
        <w:rPr>
          <w:rFonts w:ascii="Times New Roman" w:eastAsia="Times New Roman" w:hAnsi="Times New Roman" w:cs="Times New Roman"/>
          <w:b/>
          <w:i/>
          <w:iCs/>
          <w:color w:val="000000"/>
          <w:sz w:val="24"/>
          <w:szCs w:val="24"/>
          <w:u w:val="single"/>
          <w:lang w:val="es-MX" w:eastAsia="es-ES"/>
        </w:rPr>
        <w:t>la anormalidad atiende a aquellas conductas admin</w:t>
      </w:r>
      <w:r w:rsidR="00F9249E" w:rsidRPr="00893562">
        <w:rPr>
          <w:rFonts w:ascii="Times New Roman" w:eastAsia="Times New Roman" w:hAnsi="Times New Roman" w:cs="Times New Roman"/>
          <w:b/>
          <w:i/>
          <w:iCs/>
          <w:color w:val="000000"/>
          <w:sz w:val="24"/>
          <w:szCs w:val="24"/>
          <w:u w:val="single"/>
          <w:lang w:val="es-MX" w:eastAsia="es-ES"/>
        </w:rPr>
        <w:t xml:space="preserve">istrativas, que en sí mismas, </w:t>
      </w:r>
      <w:r w:rsidR="00951B99" w:rsidRPr="00893562">
        <w:rPr>
          <w:rFonts w:ascii="Times New Roman" w:eastAsia="Times New Roman" w:hAnsi="Times New Roman" w:cs="Times New Roman"/>
          <w:b/>
          <w:i/>
          <w:iCs/>
          <w:color w:val="000000"/>
          <w:sz w:val="24"/>
          <w:szCs w:val="24"/>
          <w:u w:val="single"/>
          <w:lang w:val="es-MX" w:eastAsia="es-ES"/>
        </w:rPr>
        <w:t xml:space="preserve">se apartan de la buena administración (conforme al concepto utilizado por la propia Ley General en el artículo 102 inciso d., que entre otras cosas incluye la eficacia y la eficiencia) o de la organización, de las reglas técnicas o de la pericia y el prudente quehacer en el despliegue de sus actuaciones, con efecto lesivo para la persona. </w:t>
      </w:r>
      <w:r w:rsidR="00951B99" w:rsidRPr="00951B99">
        <w:rPr>
          <w:rFonts w:ascii="Times New Roman" w:eastAsia="Times New Roman" w:hAnsi="Times New Roman" w:cs="Times New Roman"/>
          <w:i/>
          <w:iCs/>
          <w:color w:val="000000"/>
          <w:sz w:val="24"/>
          <w:szCs w:val="24"/>
          <w:lang w:val="es-CR" w:eastAsia="es-ES"/>
        </w:rPr>
        <w:t xml:space="preserve">Esto permite señalar que la anormalidad puede manifestarse a través de un mal funcionamiento; un funcionamiento tardío, o una ausencia total de funcionamiento. </w:t>
      </w:r>
      <w:r w:rsidR="00951B99" w:rsidRPr="00951B99">
        <w:rPr>
          <w:rFonts w:ascii="Times New Roman" w:eastAsia="Times New Roman" w:hAnsi="Times New Roman" w:cs="Times New Roman"/>
          <w:b/>
          <w:bCs/>
          <w:i/>
          <w:iCs/>
          <w:color w:val="000000"/>
          <w:sz w:val="24"/>
          <w:szCs w:val="24"/>
          <w:lang w:val="es-MX" w:eastAsia="es-ES"/>
        </w:rPr>
        <w:t>Anormalidad e ilicitud, no deben</w:t>
      </w:r>
      <w:r w:rsidR="00F9249E" w:rsidRPr="00F9249E">
        <w:rPr>
          <w:rFonts w:ascii="Times New Roman" w:eastAsia="Times New Roman" w:hAnsi="Times New Roman" w:cs="Times New Roman"/>
          <w:b/>
          <w:bCs/>
          <w:i/>
          <w:iCs/>
          <w:color w:val="000000"/>
          <w:sz w:val="24"/>
          <w:szCs w:val="24"/>
          <w:lang w:val="es-MX" w:eastAsia="es-ES"/>
        </w:rPr>
        <w:t xml:space="preserve"> </w:t>
      </w:r>
      <w:r w:rsidR="00951B99" w:rsidRPr="00951B99">
        <w:rPr>
          <w:rFonts w:ascii="Times New Roman" w:eastAsia="Times New Roman" w:hAnsi="Times New Roman" w:cs="Times New Roman"/>
          <w:b/>
          <w:bCs/>
          <w:i/>
          <w:iCs/>
          <w:color w:val="000000"/>
          <w:sz w:val="24"/>
          <w:szCs w:val="24"/>
          <w:lang w:val="es-MX" w:eastAsia="es-ES"/>
        </w:rPr>
        <w:t>por tanto adoptarse como conceptos equivalentes</w:t>
      </w:r>
      <w:r w:rsidR="00951B99" w:rsidRPr="00951B99">
        <w:rPr>
          <w:rFonts w:ascii="Times New Roman" w:eastAsia="Times New Roman" w:hAnsi="Times New Roman" w:cs="Times New Roman"/>
          <w:i/>
          <w:iCs/>
          <w:color w:val="000000"/>
          <w:sz w:val="24"/>
          <w:szCs w:val="24"/>
          <w:lang w:val="es-MX" w:eastAsia="es-ES"/>
        </w:rPr>
        <w:t xml:space="preserve">, ni siquiera en lo que corresponde a la hipótesis de aquel   funcionamiento que siendo debido o conforme con las reglas antedichas, produce un resultado dañoso (denominado por algún sector doctrinal como “ funcionamiento anormal por resultado ”), pues en tal caso, lo que opera es una responsabilidad por </w:t>
      </w:r>
      <w:r w:rsidR="00951B99" w:rsidRPr="00951B99">
        <w:rPr>
          <w:rFonts w:ascii="Times New Roman" w:eastAsia="Times New Roman" w:hAnsi="Times New Roman" w:cs="Times New Roman"/>
          <w:b/>
          <w:bCs/>
          <w:i/>
          <w:iCs/>
          <w:color w:val="000000"/>
          <w:sz w:val="24"/>
          <w:szCs w:val="24"/>
          <w:lang w:val="es-MX" w:eastAsia="es-ES"/>
        </w:rPr>
        <w:t>funcionamiento normal con efecto o resultado lesivo</w:t>
      </w:r>
      <w:r w:rsidR="00F9249E" w:rsidRPr="00F9249E">
        <w:rPr>
          <w:rFonts w:ascii="Times New Roman" w:eastAsia="Times New Roman" w:hAnsi="Times New Roman" w:cs="Times New Roman"/>
          <w:b/>
          <w:bCs/>
          <w:i/>
          <w:iCs/>
          <w:color w:val="000000"/>
          <w:sz w:val="24"/>
          <w:szCs w:val="24"/>
          <w:lang w:val="es-MX" w:eastAsia="es-ES"/>
        </w:rPr>
        <w:t>,</w:t>
      </w:r>
      <w:r w:rsidR="00951B99" w:rsidRPr="00951B99">
        <w:rPr>
          <w:rFonts w:ascii="Times New Roman" w:eastAsia="Times New Roman" w:hAnsi="Times New Roman" w:cs="Times New Roman"/>
          <w:i/>
          <w:iCs/>
          <w:color w:val="000000"/>
          <w:sz w:val="24"/>
          <w:szCs w:val="24"/>
          <w:lang w:val="es-MX" w:eastAsia="es-ES"/>
        </w:rPr>
        <w:t xml:space="preserve"> indemnizable, claro está, siempre que se cubran los requisitos preestablecidos expresamente por el propio Ordenamiento Jurídico (véase el mismo artículo 194 de la Ley General de la Administración Pública). Tampoco debe confundirse esta “</w:t>
      </w:r>
      <w:proofErr w:type="gramStart"/>
      <w:r w:rsidR="00951B99" w:rsidRPr="00951B99">
        <w:rPr>
          <w:rFonts w:ascii="Times New Roman" w:eastAsia="Times New Roman" w:hAnsi="Times New Roman" w:cs="Times New Roman"/>
          <w:i/>
          <w:iCs/>
          <w:color w:val="000000"/>
          <w:sz w:val="24"/>
          <w:szCs w:val="24"/>
          <w:lang w:val="es-MX" w:eastAsia="es-ES"/>
        </w:rPr>
        <w:t>anormalidad ”</w:t>
      </w:r>
      <w:proofErr w:type="gramEnd"/>
      <w:r w:rsidR="00951B99" w:rsidRPr="00951B99">
        <w:rPr>
          <w:rFonts w:ascii="Times New Roman" w:eastAsia="Times New Roman" w:hAnsi="Times New Roman" w:cs="Times New Roman"/>
          <w:i/>
          <w:iCs/>
          <w:color w:val="000000"/>
          <w:sz w:val="24"/>
          <w:szCs w:val="24"/>
          <w:lang w:val="es-MX" w:eastAsia="es-ES"/>
        </w:rPr>
        <w:t xml:space="preserve"> del funcionamiento y la “ ilegitimidad ” de éste, con la </w:t>
      </w:r>
      <w:proofErr w:type="spellStart"/>
      <w:r w:rsidR="00951B99" w:rsidRPr="00951B99">
        <w:rPr>
          <w:rFonts w:ascii="Times New Roman" w:eastAsia="Times New Roman" w:hAnsi="Times New Roman" w:cs="Times New Roman"/>
          <w:i/>
          <w:iCs/>
          <w:color w:val="000000"/>
          <w:sz w:val="24"/>
          <w:szCs w:val="24"/>
          <w:lang w:val="es-MX" w:eastAsia="es-ES"/>
        </w:rPr>
        <w:t>antijuricidad</w:t>
      </w:r>
      <w:proofErr w:type="spellEnd"/>
      <w:r w:rsidR="00951B99" w:rsidRPr="00951B99">
        <w:rPr>
          <w:rFonts w:ascii="Times New Roman" w:eastAsia="Times New Roman" w:hAnsi="Times New Roman" w:cs="Times New Roman"/>
          <w:i/>
          <w:iCs/>
          <w:color w:val="000000"/>
          <w:sz w:val="24"/>
          <w:szCs w:val="24"/>
          <w:lang w:val="es-MX" w:eastAsia="es-ES"/>
        </w:rPr>
        <w:t xml:space="preserve"> genérica y de base, imprescindible en toda reparación civil. En efecto, l </w:t>
      </w:r>
      <w:r w:rsidR="00951B99" w:rsidRPr="00951B99">
        <w:rPr>
          <w:rFonts w:ascii="Times New Roman" w:eastAsia="Times New Roman" w:hAnsi="Times New Roman" w:cs="Times New Roman"/>
          <w:i/>
          <w:iCs/>
          <w:color w:val="000000"/>
          <w:sz w:val="24"/>
          <w:szCs w:val="24"/>
          <w:lang w:val="es-CR" w:eastAsia="es-ES"/>
        </w:rPr>
        <w:t xml:space="preserve">a responsabilidad civil nace de la </w:t>
      </w:r>
      <w:proofErr w:type="spellStart"/>
      <w:r w:rsidR="00951B99" w:rsidRPr="00951B99">
        <w:rPr>
          <w:rFonts w:ascii="Times New Roman" w:eastAsia="Times New Roman" w:hAnsi="Times New Roman" w:cs="Times New Roman"/>
          <w:i/>
          <w:iCs/>
          <w:color w:val="000000"/>
          <w:sz w:val="24"/>
          <w:szCs w:val="24"/>
          <w:lang w:val="es-CR" w:eastAsia="es-ES"/>
        </w:rPr>
        <w:t>antijuricidad</w:t>
      </w:r>
      <w:proofErr w:type="spellEnd"/>
      <w:r w:rsidR="00951B99" w:rsidRPr="00951B99">
        <w:rPr>
          <w:rFonts w:ascii="Times New Roman" w:eastAsia="Times New Roman" w:hAnsi="Times New Roman" w:cs="Times New Roman"/>
          <w:i/>
          <w:iCs/>
          <w:color w:val="000000"/>
          <w:sz w:val="24"/>
          <w:szCs w:val="24"/>
          <w:lang w:val="es-CR" w:eastAsia="es-ES"/>
        </w:rPr>
        <w:t>, que a su vez se constituye en su fundamento (derivado algunas veces de una norma positiva, mientras que en otras, del principio básico traducido en el deber de no dañar a otro), y que para esta materia particular se concreta en la inexistencia de ese</w:t>
      </w:r>
      <w:r w:rsidR="00F9249E" w:rsidRPr="00F9249E">
        <w:rPr>
          <w:rFonts w:ascii="Times New Roman" w:eastAsia="Times New Roman" w:hAnsi="Times New Roman" w:cs="Times New Roman"/>
          <w:i/>
          <w:iCs/>
          <w:color w:val="000000"/>
          <w:sz w:val="24"/>
          <w:szCs w:val="24"/>
          <w:lang w:val="es-CR" w:eastAsia="es-ES"/>
        </w:rPr>
        <w:t xml:space="preserve"> deber para soportar el daño.  </w:t>
      </w:r>
      <w:r w:rsidR="00951B99" w:rsidRPr="00951B99">
        <w:rPr>
          <w:rFonts w:ascii="Times New Roman" w:eastAsia="Times New Roman" w:hAnsi="Times New Roman" w:cs="Times New Roman"/>
          <w:i/>
          <w:iCs/>
          <w:color w:val="000000"/>
          <w:sz w:val="24"/>
          <w:szCs w:val="24"/>
          <w:lang w:val="es-CR" w:eastAsia="es-ES"/>
        </w:rPr>
        <w:t>Siempre que la víctima no tenga ese deber de soportar la lesión, se convierte en antijurídica, por menoscabo a un tercero a</w:t>
      </w:r>
      <w:r w:rsidR="00F9249E" w:rsidRPr="00F9249E">
        <w:rPr>
          <w:rFonts w:ascii="Times New Roman" w:eastAsia="Times New Roman" w:hAnsi="Times New Roman" w:cs="Times New Roman"/>
          <w:i/>
          <w:iCs/>
          <w:color w:val="000000"/>
          <w:sz w:val="24"/>
          <w:szCs w:val="24"/>
          <w:lang w:val="es-CR" w:eastAsia="es-ES"/>
        </w:rPr>
        <w:t xml:space="preserve"> contrapelo del ordenamiento. </w:t>
      </w:r>
      <w:r w:rsidR="00951B99" w:rsidRPr="00951B99">
        <w:rPr>
          <w:rFonts w:ascii="Times New Roman" w:eastAsia="Times New Roman" w:hAnsi="Times New Roman" w:cs="Times New Roman"/>
          <w:i/>
          <w:iCs/>
          <w:color w:val="000000"/>
          <w:sz w:val="24"/>
          <w:szCs w:val="24"/>
          <w:lang w:val="es-CR" w:eastAsia="es-ES"/>
        </w:rPr>
        <w:t>De no exis</w:t>
      </w:r>
      <w:r w:rsidR="00F9249E" w:rsidRPr="00F9249E">
        <w:rPr>
          <w:rFonts w:ascii="Times New Roman" w:eastAsia="Times New Roman" w:hAnsi="Times New Roman" w:cs="Times New Roman"/>
          <w:i/>
          <w:iCs/>
          <w:color w:val="000000"/>
          <w:sz w:val="24"/>
          <w:szCs w:val="24"/>
          <w:lang w:val="es-CR" w:eastAsia="es-ES"/>
        </w:rPr>
        <w:t xml:space="preserve">tir ésta, no cabe reparación. </w:t>
      </w:r>
      <w:r w:rsidR="00951B99" w:rsidRPr="00951B99">
        <w:rPr>
          <w:rFonts w:ascii="Times New Roman" w:eastAsia="Times New Roman" w:hAnsi="Times New Roman" w:cs="Times New Roman"/>
          <w:i/>
          <w:iCs/>
          <w:color w:val="000000"/>
          <w:sz w:val="24"/>
          <w:szCs w:val="24"/>
          <w:lang w:val="es-CR" w:eastAsia="es-ES"/>
        </w:rPr>
        <w:t xml:space="preserve">Resulta de esta forma incluso en la responsabilidad por conducta lícita, en la que pese a la </w:t>
      </w:r>
      <w:proofErr w:type="spellStart"/>
      <w:r w:rsidR="00951B99" w:rsidRPr="00951B99">
        <w:rPr>
          <w:rFonts w:ascii="Times New Roman" w:eastAsia="Times New Roman" w:hAnsi="Times New Roman" w:cs="Times New Roman"/>
          <w:i/>
          <w:iCs/>
          <w:color w:val="000000"/>
          <w:sz w:val="24"/>
          <w:szCs w:val="24"/>
          <w:lang w:val="es-CR" w:eastAsia="es-ES"/>
        </w:rPr>
        <w:t>juricidad</w:t>
      </w:r>
      <w:proofErr w:type="spellEnd"/>
      <w:r w:rsidR="00951B99" w:rsidRPr="00951B99">
        <w:rPr>
          <w:rFonts w:ascii="Times New Roman" w:eastAsia="Times New Roman" w:hAnsi="Times New Roman" w:cs="Times New Roman"/>
          <w:i/>
          <w:iCs/>
          <w:color w:val="000000"/>
          <w:sz w:val="24"/>
          <w:szCs w:val="24"/>
          <w:lang w:val="es-CR" w:eastAsia="es-ES"/>
        </w:rPr>
        <w:t xml:space="preserve"> plena de la conducta adoptada, se produce una lesión que por no ser de obligado soporte, es antijurídica en su base</w:t>
      </w:r>
      <w:r w:rsidR="00F9249E" w:rsidRPr="00F9249E">
        <w:rPr>
          <w:rFonts w:ascii="Times New Roman" w:eastAsia="Times New Roman" w:hAnsi="Times New Roman" w:cs="Times New Roman"/>
          <w:i/>
          <w:iCs/>
          <w:color w:val="000000"/>
          <w:sz w:val="24"/>
          <w:szCs w:val="24"/>
          <w:lang w:val="es-CR" w:eastAsia="es-ES"/>
        </w:rPr>
        <w:t>, conforme a lo que va dicho.  </w:t>
      </w:r>
      <w:r w:rsidR="00951B99" w:rsidRPr="00951B99">
        <w:rPr>
          <w:rFonts w:ascii="Times New Roman" w:eastAsia="Times New Roman" w:hAnsi="Times New Roman" w:cs="Times New Roman"/>
          <w:i/>
          <w:iCs/>
          <w:color w:val="000000"/>
          <w:sz w:val="24"/>
          <w:szCs w:val="24"/>
          <w:lang w:val="es-CR" w:eastAsia="es-ES"/>
        </w:rPr>
        <w:t xml:space="preserve">Así las cosas, si no existe el deber de sobrellevar la lesión (entendida como la consecuencia final ablativa de la conducta pública), es porque la Administración debía evitarla, o, en </w:t>
      </w:r>
      <w:r w:rsidR="00951B99" w:rsidRPr="00951B99">
        <w:rPr>
          <w:rFonts w:ascii="Times New Roman" w:eastAsia="Times New Roman" w:hAnsi="Times New Roman" w:cs="Times New Roman"/>
          <w:i/>
          <w:iCs/>
          <w:color w:val="000000"/>
          <w:sz w:val="24"/>
          <w:szCs w:val="24"/>
          <w:lang w:val="es-CR" w:eastAsia="es-ES"/>
        </w:rPr>
        <w:lastRenderedPageBreak/>
        <w:t>caso contrario y bajo ciertas circunstancias (requisitos del artículo 194 de la Ley General de la Administración Pública) asumir las consecuencias reparadoras de</w:t>
      </w:r>
      <w:r w:rsidR="00F9249E" w:rsidRPr="00F9249E">
        <w:rPr>
          <w:rFonts w:ascii="Times New Roman" w:eastAsia="Times New Roman" w:hAnsi="Times New Roman" w:cs="Times New Roman"/>
          <w:i/>
          <w:iCs/>
          <w:color w:val="000000"/>
          <w:sz w:val="24"/>
          <w:szCs w:val="24"/>
          <w:lang w:val="es-CR" w:eastAsia="es-ES"/>
        </w:rPr>
        <w:t xml:space="preserve"> aquella que no pudo impedir.  </w:t>
      </w:r>
      <w:r w:rsidR="00951B99" w:rsidRPr="00951B99">
        <w:rPr>
          <w:rFonts w:ascii="Times New Roman" w:eastAsia="Times New Roman" w:hAnsi="Times New Roman" w:cs="Times New Roman"/>
          <w:i/>
          <w:iCs/>
          <w:color w:val="000000"/>
          <w:sz w:val="24"/>
          <w:szCs w:val="24"/>
          <w:lang w:val="es-CR" w:eastAsia="es-ES"/>
        </w:rPr>
        <w:t xml:space="preserve">Se produce entonces, </w:t>
      </w:r>
      <w:r w:rsidR="00951B99" w:rsidRPr="00951B99">
        <w:rPr>
          <w:rFonts w:ascii="Times New Roman" w:eastAsia="Times New Roman" w:hAnsi="Times New Roman" w:cs="Times New Roman"/>
          <w:i/>
          <w:iCs/>
          <w:color w:val="000000"/>
          <w:sz w:val="24"/>
          <w:szCs w:val="24"/>
          <w:u w:val="single"/>
          <w:lang w:val="es-CR" w:eastAsia="es-ES"/>
        </w:rPr>
        <w:t xml:space="preserve">el incumpliendo al deber de indemnidad patrimonial de la </w:t>
      </w:r>
      <w:proofErr w:type="gramStart"/>
      <w:r w:rsidR="00951B99" w:rsidRPr="00951B99">
        <w:rPr>
          <w:rFonts w:ascii="Times New Roman" w:eastAsia="Times New Roman" w:hAnsi="Times New Roman" w:cs="Times New Roman"/>
          <w:i/>
          <w:iCs/>
          <w:color w:val="000000"/>
          <w:sz w:val="24"/>
          <w:szCs w:val="24"/>
          <w:u w:val="single"/>
          <w:lang w:val="es-CR" w:eastAsia="es-ES"/>
        </w:rPr>
        <w:t xml:space="preserve">persona </w:t>
      </w:r>
      <w:r w:rsidR="00F9249E" w:rsidRPr="00F9249E">
        <w:rPr>
          <w:rFonts w:ascii="Times New Roman" w:eastAsia="Times New Roman" w:hAnsi="Times New Roman" w:cs="Times New Roman"/>
          <w:i/>
          <w:iCs/>
          <w:color w:val="000000"/>
          <w:sz w:val="24"/>
          <w:szCs w:val="24"/>
          <w:lang w:val="es-CR" w:eastAsia="es-ES"/>
        </w:rPr>
        <w:t>,</w:t>
      </w:r>
      <w:proofErr w:type="gramEnd"/>
      <w:r w:rsidR="00F9249E" w:rsidRPr="00F9249E">
        <w:rPr>
          <w:rFonts w:ascii="Times New Roman" w:eastAsia="Times New Roman" w:hAnsi="Times New Roman" w:cs="Times New Roman"/>
          <w:i/>
          <w:iCs/>
          <w:color w:val="000000"/>
          <w:sz w:val="24"/>
          <w:szCs w:val="24"/>
          <w:lang w:val="es-CR" w:eastAsia="es-ES"/>
        </w:rPr>
        <w:t xml:space="preserve"> </w:t>
      </w:r>
      <w:r w:rsidR="00951B99" w:rsidRPr="00951B99">
        <w:rPr>
          <w:rFonts w:ascii="Times New Roman" w:eastAsia="Times New Roman" w:hAnsi="Times New Roman" w:cs="Times New Roman"/>
          <w:i/>
          <w:iCs/>
          <w:color w:val="000000"/>
          <w:sz w:val="24"/>
          <w:szCs w:val="24"/>
          <w:lang w:val="es-CR" w:eastAsia="es-ES"/>
        </w:rPr>
        <w:t xml:space="preserve">y en ese tanto, habrá que reputar la lesión a la esfera jurídica de la víctima como antijurídica, y por ende, de obligada reparación. De esta manera, puede afirmarse que sólo es indemnizable la lesión que confrontada con la globalidad del Ordenamiento, pueda reputarse como antijurídica en su base, pues lo contrario sería afirmar la compensación por acción dañosa frente a un menoscabo que el Ordenamiento no reprocha y que, por el contrario, tolera y </w:t>
      </w:r>
      <w:proofErr w:type="spellStart"/>
      <w:r w:rsidR="00951B99" w:rsidRPr="00951B99">
        <w:rPr>
          <w:rFonts w:ascii="Times New Roman" w:eastAsia="Times New Roman" w:hAnsi="Times New Roman" w:cs="Times New Roman"/>
          <w:i/>
          <w:iCs/>
          <w:color w:val="000000"/>
          <w:sz w:val="24"/>
          <w:szCs w:val="24"/>
          <w:lang w:val="es-CR" w:eastAsia="es-ES"/>
        </w:rPr>
        <w:t>concien</w:t>
      </w:r>
      <w:r w:rsidR="00F9249E" w:rsidRPr="00F9249E">
        <w:rPr>
          <w:rFonts w:ascii="Times New Roman" w:eastAsia="Times New Roman" w:hAnsi="Times New Roman" w:cs="Times New Roman"/>
          <w:i/>
          <w:iCs/>
          <w:color w:val="000000"/>
          <w:sz w:val="24"/>
          <w:szCs w:val="24"/>
          <w:lang w:val="es-CR" w:eastAsia="es-ES"/>
        </w:rPr>
        <w:t>te</w:t>
      </w:r>
      <w:proofErr w:type="spellEnd"/>
      <w:r w:rsidR="00F9249E" w:rsidRPr="00F9249E">
        <w:rPr>
          <w:rFonts w:ascii="Times New Roman" w:eastAsia="Times New Roman" w:hAnsi="Times New Roman" w:cs="Times New Roman"/>
          <w:i/>
          <w:iCs/>
          <w:color w:val="000000"/>
          <w:sz w:val="24"/>
          <w:szCs w:val="24"/>
          <w:lang w:val="es-CR" w:eastAsia="es-ES"/>
        </w:rPr>
        <w:t xml:space="preserve"> como normal y justificado.  </w:t>
      </w:r>
      <w:r w:rsidR="00951B99" w:rsidRPr="00951B99">
        <w:rPr>
          <w:rFonts w:ascii="Times New Roman" w:eastAsia="Times New Roman" w:hAnsi="Times New Roman" w:cs="Times New Roman"/>
          <w:i/>
          <w:iCs/>
          <w:color w:val="000000"/>
          <w:sz w:val="24"/>
          <w:szCs w:val="24"/>
          <w:lang w:val="es-CR" w:eastAsia="es-ES"/>
        </w:rPr>
        <w:t xml:space="preserve">Debe reiterarse entonces, que para la existencia en Derecho de una reparación debida, ha de existir </w:t>
      </w:r>
      <w:proofErr w:type="spellStart"/>
      <w:r w:rsidR="00951B99" w:rsidRPr="00951B99">
        <w:rPr>
          <w:rFonts w:ascii="Times New Roman" w:eastAsia="Times New Roman" w:hAnsi="Times New Roman" w:cs="Times New Roman"/>
          <w:i/>
          <w:iCs/>
          <w:color w:val="000000"/>
          <w:sz w:val="24"/>
          <w:szCs w:val="24"/>
          <w:lang w:val="es-CR" w:eastAsia="es-ES"/>
        </w:rPr>
        <w:t>antijuricidad</w:t>
      </w:r>
      <w:proofErr w:type="spellEnd"/>
      <w:r w:rsidR="00951B99" w:rsidRPr="00951B99">
        <w:rPr>
          <w:rFonts w:ascii="Times New Roman" w:eastAsia="Times New Roman" w:hAnsi="Times New Roman" w:cs="Times New Roman"/>
          <w:i/>
          <w:iCs/>
          <w:color w:val="000000"/>
          <w:sz w:val="24"/>
          <w:szCs w:val="24"/>
          <w:lang w:val="es-CR" w:eastAsia="es-ES"/>
        </w:rPr>
        <w:t xml:space="preserve"> antecedente y de base, lo que en modo alguno apunta a la naturaleza (legítima o ilegítima) de la conducta desplegada por el agente productor del daño, ni por el resultado que produce dicha acción u omisión.   En efecto, aún en los supuestos de funcionamiento legítimo y normal, en los que no existe ilicitud en el comportamiento, se produce una consecuencia dañosa, que con determinadas características (intensidad excepcional o pequeña proporción de afectados), se reputa como de obligada reparación, lo cual dice de su </w:t>
      </w:r>
      <w:proofErr w:type="spellStart"/>
      <w:r w:rsidR="00951B99" w:rsidRPr="00951B99">
        <w:rPr>
          <w:rFonts w:ascii="Times New Roman" w:eastAsia="Times New Roman" w:hAnsi="Times New Roman" w:cs="Times New Roman"/>
          <w:i/>
          <w:iCs/>
          <w:color w:val="000000"/>
          <w:sz w:val="24"/>
          <w:szCs w:val="24"/>
          <w:lang w:val="es-CR" w:eastAsia="es-ES"/>
        </w:rPr>
        <w:t>antijuricidad</w:t>
      </w:r>
      <w:proofErr w:type="spellEnd"/>
      <w:r w:rsidR="00951B99" w:rsidRPr="00951B99">
        <w:rPr>
          <w:rFonts w:ascii="Times New Roman" w:eastAsia="Times New Roman" w:hAnsi="Times New Roman" w:cs="Times New Roman"/>
          <w:i/>
          <w:iCs/>
          <w:color w:val="000000"/>
          <w:sz w:val="24"/>
          <w:szCs w:val="24"/>
          <w:lang w:val="es-CR" w:eastAsia="es-ES"/>
        </w:rPr>
        <w:t xml:space="preserve">, tanto así, que con la lesión misma surge la obligación civil y su consecuente derecho de accionar.   Se puede sostener entonces, que la </w:t>
      </w:r>
      <w:proofErr w:type="spellStart"/>
      <w:r w:rsidR="00951B99" w:rsidRPr="00951B99">
        <w:rPr>
          <w:rFonts w:ascii="Times New Roman" w:eastAsia="Times New Roman" w:hAnsi="Times New Roman" w:cs="Times New Roman"/>
          <w:i/>
          <w:iCs/>
          <w:color w:val="000000"/>
          <w:sz w:val="24"/>
          <w:szCs w:val="24"/>
          <w:lang w:val="es-CR" w:eastAsia="es-ES"/>
        </w:rPr>
        <w:t>antijuricidad</w:t>
      </w:r>
      <w:proofErr w:type="spellEnd"/>
      <w:r w:rsidR="00951B99" w:rsidRPr="00951B99">
        <w:rPr>
          <w:rFonts w:ascii="Times New Roman" w:eastAsia="Times New Roman" w:hAnsi="Times New Roman" w:cs="Times New Roman"/>
          <w:i/>
          <w:iCs/>
          <w:color w:val="000000"/>
          <w:sz w:val="24"/>
          <w:szCs w:val="24"/>
          <w:lang w:val="es-CR" w:eastAsia="es-ES"/>
        </w:rPr>
        <w:t xml:space="preserve"> de base, a la que se hace referencia como sustrato y presupuesto global e imprescindible para la responsabilidad, es cosa distinta e independiente del parámetro de imputación utilizada por el Sistema Jurídico, pues aún en el evento de un régimen objetivo (que excluya los elementos subjetivos de la culpa y dolo, para dar paso a una simple transferencia económica dirigida a restaurar el desequilibrio producido en la igualdad de las cargas públicas), hay </w:t>
      </w:r>
      <w:proofErr w:type="spellStart"/>
      <w:r w:rsidR="00951B99" w:rsidRPr="00951B99">
        <w:rPr>
          <w:rFonts w:ascii="Times New Roman" w:eastAsia="Times New Roman" w:hAnsi="Times New Roman" w:cs="Times New Roman"/>
          <w:i/>
          <w:iCs/>
          <w:color w:val="000000"/>
          <w:sz w:val="24"/>
          <w:szCs w:val="24"/>
          <w:lang w:val="es-CR" w:eastAsia="es-ES"/>
        </w:rPr>
        <w:t>antijuricidad</w:t>
      </w:r>
      <w:proofErr w:type="spellEnd"/>
      <w:r w:rsidR="00951B99" w:rsidRPr="00951B99">
        <w:rPr>
          <w:rFonts w:ascii="Times New Roman" w:eastAsia="Times New Roman" w:hAnsi="Times New Roman" w:cs="Times New Roman"/>
          <w:i/>
          <w:iCs/>
          <w:color w:val="000000"/>
          <w:sz w:val="24"/>
          <w:szCs w:val="24"/>
          <w:lang w:val="es-CR" w:eastAsia="es-ES"/>
        </w:rPr>
        <w:t xml:space="preserve">, en la medida en que la norma declara la obligación existente bajo el presupuesto implícito de una lesión contraria a Derecho, que no debe ser soportada por la víctima. Esa reiterada </w:t>
      </w:r>
      <w:proofErr w:type="spellStart"/>
      <w:r w:rsidR="00951B99" w:rsidRPr="00951B99">
        <w:rPr>
          <w:rFonts w:ascii="Times New Roman" w:eastAsia="Times New Roman" w:hAnsi="Times New Roman" w:cs="Times New Roman"/>
          <w:i/>
          <w:iCs/>
          <w:color w:val="000000"/>
          <w:sz w:val="24"/>
          <w:szCs w:val="24"/>
          <w:lang w:val="es-CR" w:eastAsia="es-ES"/>
        </w:rPr>
        <w:t>antijuricidad</w:t>
      </w:r>
      <w:proofErr w:type="spellEnd"/>
      <w:r w:rsidR="00951B99" w:rsidRPr="00951B99">
        <w:rPr>
          <w:rFonts w:ascii="Times New Roman" w:eastAsia="Times New Roman" w:hAnsi="Times New Roman" w:cs="Times New Roman"/>
          <w:i/>
          <w:iCs/>
          <w:color w:val="000000"/>
          <w:sz w:val="24"/>
          <w:szCs w:val="24"/>
          <w:lang w:val="es-CR" w:eastAsia="es-ES"/>
        </w:rPr>
        <w:t xml:space="preserve"> estará siempre presente en el daño indemnizable, bien sea por funcionamiento normal </w:t>
      </w:r>
      <w:r w:rsidR="00F9249E">
        <w:rPr>
          <w:rFonts w:ascii="Times New Roman" w:eastAsia="Times New Roman" w:hAnsi="Times New Roman" w:cs="Times New Roman"/>
          <w:i/>
          <w:iCs/>
          <w:color w:val="000000"/>
          <w:sz w:val="24"/>
          <w:szCs w:val="24"/>
          <w:lang w:val="es-CR" w:eastAsia="es-ES"/>
        </w:rPr>
        <w:t>o anormal, legítimo o ilegítimo…”</w:t>
      </w:r>
    </w:p>
    <w:p w:rsidR="00B14228" w:rsidRPr="00BA7BE0" w:rsidRDefault="00F9249E" w:rsidP="00B14228">
      <w:pPr>
        <w:tabs>
          <w:tab w:val="left" w:pos="900"/>
        </w:tabs>
        <w:spacing w:before="100" w:beforeAutospacing="1" w:after="100" w:afterAutospacing="1" w:line="240" w:lineRule="auto"/>
        <w:jc w:val="both"/>
        <w:rPr>
          <w:rFonts w:ascii="Times New Roman" w:eastAsia="Times New Roman" w:hAnsi="Times New Roman" w:cs="Times New Roman"/>
          <w:b/>
          <w:bCs/>
          <w:iCs/>
          <w:color w:val="000000"/>
          <w:sz w:val="24"/>
          <w:szCs w:val="24"/>
          <w:lang w:eastAsia="es-ES"/>
        </w:rPr>
      </w:pPr>
      <w:r>
        <w:rPr>
          <w:rFonts w:ascii="Times New Roman" w:eastAsia="Times New Roman" w:hAnsi="Times New Roman" w:cs="Times New Roman"/>
          <w:i/>
          <w:iCs/>
          <w:color w:val="000000"/>
          <w:sz w:val="24"/>
          <w:szCs w:val="24"/>
          <w:lang w:val="es-CR" w:eastAsia="es-ES"/>
        </w:rPr>
        <w:tab/>
      </w:r>
      <w:r w:rsidRPr="00BA7BE0">
        <w:rPr>
          <w:rFonts w:ascii="Times New Roman" w:eastAsia="Times New Roman" w:hAnsi="Times New Roman" w:cs="Times New Roman"/>
          <w:iCs/>
          <w:color w:val="000000"/>
          <w:sz w:val="24"/>
          <w:szCs w:val="24"/>
          <w:lang w:val="es-CR" w:eastAsia="es-ES"/>
        </w:rPr>
        <w:t>Más adelante</w:t>
      </w:r>
      <w:r w:rsidR="00951B99" w:rsidRPr="00951B99">
        <w:rPr>
          <w:rFonts w:ascii="Times New Roman" w:eastAsia="Times New Roman" w:hAnsi="Times New Roman" w:cs="Times New Roman"/>
          <w:iCs/>
          <w:color w:val="000000"/>
          <w:sz w:val="24"/>
          <w:szCs w:val="24"/>
          <w:lang w:val="es-CR" w:eastAsia="es-ES"/>
        </w:rPr>
        <w:t xml:space="preserve">  </w:t>
      </w:r>
      <w:r w:rsidRPr="00BA7BE0">
        <w:rPr>
          <w:rFonts w:ascii="Times New Roman" w:eastAsia="Times New Roman" w:hAnsi="Times New Roman" w:cs="Times New Roman"/>
          <w:color w:val="000000"/>
          <w:sz w:val="24"/>
          <w:szCs w:val="24"/>
          <w:lang w:eastAsia="es-ES"/>
        </w:rPr>
        <w:t xml:space="preserve">se refiere, específicamente a las </w:t>
      </w:r>
      <w:r w:rsidRPr="00893562">
        <w:rPr>
          <w:rFonts w:ascii="Times New Roman" w:eastAsia="Times New Roman" w:hAnsi="Times New Roman" w:cs="Times New Roman"/>
          <w:b/>
          <w:color w:val="000000"/>
          <w:sz w:val="24"/>
          <w:szCs w:val="24"/>
          <w:lang w:eastAsia="es-ES"/>
        </w:rPr>
        <w:t>conductas omisivas</w:t>
      </w:r>
      <w:r w:rsidR="00B14228" w:rsidRPr="00BA7BE0">
        <w:rPr>
          <w:rFonts w:ascii="Times New Roman" w:eastAsia="Times New Roman" w:hAnsi="Times New Roman" w:cs="Times New Roman"/>
          <w:color w:val="000000"/>
          <w:sz w:val="24"/>
          <w:szCs w:val="24"/>
          <w:lang w:eastAsia="es-ES"/>
        </w:rPr>
        <w:t xml:space="preserve">, entendiendo que ellas se producen cuando, existiendo para el ente público una obligación impuesta por el ordenamiento jurídico, éste no </w:t>
      </w:r>
      <w:r w:rsidR="00951B99" w:rsidRPr="00951B99">
        <w:rPr>
          <w:rFonts w:ascii="Times New Roman" w:eastAsia="Times New Roman" w:hAnsi="Times New Roman" w:cs="Times New Roman"/>
          <w:b/>
          <w:bCs/>
          <w:iCs/>
          <w:color w:val="000000"/>
          <w:sz w:val="24"/>
          <w:szCs w:val="24"/>
          <w:lang w:eastAsia="es-ES"/>
        </w:rPr>
        <w:t xml:space="preserve">despliega la debida actividad fáctica o jurídica que lleve a buen término la función otorgada, con detrimento de los derechos o intereses de </w:t>
      </w:r>
      <w:r w:rsidR="00B14228" w:rsidRPr="00BA7BE0">
        <w:rPr>
          <w:rFonts w:ascii="Times New Roman" w:eastAsia="Times New Roman" w:hAnsi="Times New Roman" w:cs="Times New Roman"/>
          <w:b/>
          <w:bCs/>
          <w:iCs/>
          <w:color w:val="000000"/>
          <w:sz w:val="24"/>
          <w:szCs w:val="24"/>
          <w:lang w:eastAsia="es-ES"/>
        </w:rPr>
        <w:t>los</w:t>
      </w:r>
      <w:r w:rsidR="00951B99" w:rsidRPr="00951B99">
        <w:rPr>
          <w:rFonts w:ascii="Times New Roman" w:eastAsia="Times New Roman" w:hAnsi="Times New Roman" w:cs="Times New Roman"/>
          <w:b/>
          <w:bCs/>
          <w:iCs/>
          <w:color w:val="000000"/>
          <w:sz w:val="24"/>
          <w:szCs w:val="24"/>
          <w:lang w:eastAsia="es-ES"/>
        </w:rPr>
        <w:t xml:space="preserve"> sujetos pasivos</w:t>
      </w:r>
      <w:r w:rsidR="00BA7BE0">
        <w:rPr>
          <w:rFonts w:ascii="Times New Roman" w:eastAsia="Times New Roman" w:hAnsi="Times New Roman" w:cs="Times New Roman"/>
          <w:b/>
          <w:bCs/>
          <w:iCs/>
          <w:color w:val="000000"/>
          <w:sz w:val="24"/>
          <w:szCs w:val="24"/>
          <w:lang w:eastAsia="es-ES"/>
        </w:rPr>
        <w:t>.</w:t>
      </w:r>
    </w:p>
    <w:p w:rsidR="00951B99" w:rsidRPr="00951B99" w:rsidRDefault="00B14228" w:rsidP="00B14228">
      <w:pPr>
        <w:tabs>
          <w:tab w:val="left" w:pos="900"/>
        </w:tabs>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b/>
          <w:bCs/>
          <w:iCs/>
          <w:color w:val="000000"/>
          <w:sz w:val="24"/>
          <w:szCs w:val="24"/>
          <w:lang w:eastAsia="es-ES"/>
        </w:rPr>
        <w:tab/>
      </w:r>
      <w:r w:rsidRPr="00BA7BE0">
        <w:rPr>
          <w:rFonts w:ascii="Times New Roman" w:eastAsia="Times New Roman" w:hAnsi="Times New Roman" w:cs="Times New Roman"/>
          <w:b/>
          <w:bCs/>
          <w:i/>
          <w:iCs/>
          <w:color w:val="000000"/>
          <w:sz w:val="24"/>
          <w:szCs w:val="24"/>
          <w:lang w:eastAsia="es-ES"/>
        </w:rPr>
        <w:t xml:space="preserve">“… </w:t>
      </w:r>
      <w:r w:rsidR="00BA7BE0">
        <w:rPr>
          <w:rFonts w:ascii="Times New Roman" w:eastAsia="Times New Roman" w:hAnsi="Times New Roman" w:cs="Times New Roman"/>
          <w:i/>
          <w:iCs/>
          <w:color w:val="000000"/>
          <w:sz w:val="24"/>
          <w:szCs w:val="24"/>
          <w:lang w:val="es-CR" w:eastAsia="es-ES"/>
        </w:rPr>
        <w:t xml:space="preserve">Se trata de esa “culpa in </w:t>
      </w:r>
      <w:proofErr w:type="spellStart"/>
      <w:r w:rsidR="00BA7BE0">
        <w:rPr>
          <w:rFonts w:ascii="Times New Roman" w:eastAsia="Times New Roman" w:hAnsi="Times New Roman" w:cs="Times New Roman"/>
          <w:i/>
          <w:iCs/>
          <w:color w:val="000000"/>
          <w:sz w:val="24"/>
          <w:szCs w:val="24"/>
          <w:lang w:val="es-CR" w:eastAsia="es-ES"/>
        </w:rPr>
        <w:t>ommittendo</w:t>
      </w:r>
      <w:proofErr w:type="spellEnd"/>
      <w:r w:rsidR="00951B99" w:rsidRPr="00951B99">
        <w:rPr>
          <w:rFonts w:ascii="Times New Roman" w:eastAsia="Times New Roman" w:hAnsi="Times New Roman" w:cs="Times New Roman"/>
          <w:i/>
          <w:iCs/>
          <w:color w:val="000000"/>
          <w:sz w:val="24"/>
          <w:szCs w:val="24"/>
          <w:lang w:val="es-CR" w:eastAsia="es-ES"/>
        </w:rPr>
        <w:t xml:space="preserve">” en la que se incumple por inacción el deber funcional de actuar. De más está decir, que la indolencia administrativa puede producir (y de hecho produce) más graves lesiones que la propia actuación limitativa del órgano o ente público. De ahí que, ha de afirmarse de manera contundente (con fundamento y de acuerdo con lo dicho en considerandos anteriores) que la Administración Pública también es responsable por los daños y perjuicios ocasionados con su inactividad administrativa. Esa pasividad frente al cumplimiento de obligaciones preexistentes se enmarca, para efectos de la responsabilidad civil extracontractual, como </w:t>
      </w:r>
      <w:r w:rsidR="00951B99" w:rsidRPr="00951B99">
        <w:rPr>
          <w:rFonts w:ascii="Times New Roman" w:eastAsia="Times New Roman" w:hAnsi="Times New Roman" w:cs="Times New Roman"/>
          <w:i/>
          <w:iCs/>
          <w:color w:val="000000"/>
          <w:sz w:val="24"/>
          <w:szCs w:val="24"/>
          <w:u w:val="single"/>
          <w:lang w:val="es-CR" w:eastAsia="es-ES"/>
        </w:rPr>
        <w:t xml:space="preserve">funcionamiento anormal </w:t>
      </w:r>
      <w:r w:rsidR="00951B99" w:rsidRPr="00951B99">
        <w:rPr>
          <w:rFonts w:ascii="Times New Roman" w:eastAsia="Times New Roman" w:hAnsi="Times New Roman" w:cs="Times New Roman"/>
          <w:i/>
          <w:iCs/>
          <w:color w:val="000000"/>
          <w:sz w:val="24"/>
          <w:szCs w:val="24"/>
          <w:lang w:val="es-CR" w:eastAsia="es-ES"/>
        </w:rPr>
        <w:t xml:space="preserve">de la Administración (en tanto se corresponda con una actividad material debida) y con una </w:t>
      </w:r>
      <w:r w:rsidR="00951B99" w:rsidRPr="00951B99">
        <w:rPr>
          <w:rFonts w:ascii="Times New Roman" w:eastAsia="Times New Roman" w:hAnsi="Times New Roman" w:cs="Times New Roman"/>
          <w:i/>
          <w:iCs/>
          <w:color w:val="000000"/>
          <w:sz w:val="24"/>
          <w:szCs w:val="24"/>
          <w:u w:val="single"/>
          <w:lang w:val="es-CR" w:eastAsia="es-ES"/>
        </w:rPr>
        <w:t xml:space="preserve">conducta ilegítima </w:t>
      </w:r>
      <w:r w:rsidR="00951B99" w:rsidRPr="00951B99">
        <w:rPr>
          <w:rFonts w:ascii="Times New Roman" w:eastAsia="Times New Roman" w:hAnsi="Times New Roman" w:cs="Times New Roman"/>
          <w:i/>
          <w:iCs/>
          <w:color w:val="000000"/>
          <w:sz w:val="24"/>
          <w:szCs w:val="24"/>
          <w:lang w:val="es-CR" w:eastAsia="es-ES"/>
        </w:rPr>
        <w:t xml:space="preserve">, que para este caso puede ser concurrente, en la medida en que el incumplimiento de lo debido no sólo atenta contra las reglas de buena administración, sino que infringe la </w:t>
      </w:r>
      <w:proofErr w:type="spellStart"/>
      <w:r w:rsidR="00951B99" w:rsidRPr="00951B99">
        <w:rPr>
          <w:rFonts w:ascii="Times New Roman" w:eastAsia="Times New Roman" w:hAnsi="Times New Roman" w:cs="Times New Roman"/>
          <w:i/>
          <w:iCs/>
          <w:color w:val="000000"/>
          <w:sz w:val="24"/>
          <w:szCs w:val="24"/>
          <w:lang w:val="es-CR" w:eastAsia="es-ES"/>
        </w:rPr>
        <w:t>juricidad</w:t>
      </w:r>
      <w:proofErr w:type="spellEnd"/>
      <w:r w:rsidR="00951B99" w:rsidRPr="00951B99">
        <w:rPr>
          <w:rFonts w:ascii="Times New Roman" w:eastAsia="Times New Roman" w:hAnsi="Times New Roman" w:cs="Times New Roman"/>
          <w:i/>
          <w:iCs/>
          <w:color w:val="000000"/>
          <w:sz w:val="24"/>
          <w:szCs w:val="24"/>
          <w:lang w:val="es-CR" w:eastAsia="es-ES"/>
        </w:rPr>
        <w:t xml:space="preserve"> en tanto incumple las potestades administrativas funcionales que dimanan del propio Ordenamiento Jurídico</w:t>
      </w:r>
      <w:r w:rsidRPr="00BA7BE0">
        <w:rPr>
          <w:rFonts w:ascii="Times New Roman" w:eastAsia="Times New Roman" w:hAnsi="Times New Roman" w:cs="Times New Roman"/>
          <w:i/>
          <w:iCs/>
          <w:color w:val="000000"/>
          <w:sz w:val="24"/>
          <w:szCs w:val="24"/>
          <w:lang w:val="es-CR" w:eastAsia="es-ES"/>
        </w:rPr>
        <w:t>…</w:t>
      </w:r>
      <w:r>
        <w:rPr>
          <w:rFonts w:ascii="Times New Roman" w:eastAsia="Times New Roman" w:hAnsi="Times New Roman" w:cs="Times New Roman"/>
          <w:iCs/>
          <w:color w:val="000000"/>
          <w:sz w:val="24"/>
          <w:szCs w:val="24"/>
          <w:lang w:val="es-CR" w:eastAsia="es-ES"/>
        </w:rPr>
        <w:t>”</w:t>
      </w:r>
    </w:p>
    <w:p w:rsidR="00B14228" w:rsidRDefault="00951B99" w:rsidP="00951B99">
      <w:pPr>
        <w:tabs>
          <w:tab w:val="left" w:pos="900"/>
        </w:tabs>
        <w:spacing w:before="100" w:beforeAutospacing="1" w:after="100" w:afterAutospacing="1" w:line="240" w:lineRule="auto"/>
        <w:jc w:val="both"/>
        <w:rPr>
          <w:rFonts w:ascii="Times New Roman" w:eastAsia="Times New Roman" w:hAnsi="Times New Roman" w:cs="Times New Roman"/>
          <w:b/>
          <w:bCs/>
          <w:iCs/>
          <w:color w:val="000000"/>
          <w:sz w:val="24"/>
          <w:szCs w:val="24"/>
          <w:lang w:val="es-ES_tradnl" w:eastAsia="es-ES"/>
        </w:rPr>
      </w:pPr>
      <w:r w:rsidRPr="00951B99">
        <w:rPr>
          <w:rFonts w:ascii="Times New Roman" w:eastAsia="Times New Roman" w:hAnsi="Times New Roman" w:cs="Times New Roman"/>
          <w:iCs/>
          <w:color w:val="000000"/>
          <w:sz w:val="24"/>
          <w:szCs w:val="24"/>
          <w:lang w:val="es-MX" w:eastAsia="es-ES"/>
        </w:rPr>
        <w:lastRenderedPageBreak/>
        <w:t xml:space="preserve">            </w:t>
      </w:r>
      <w:r w:rsidRPr="00951B99">
        <w:rPr>
          <w:rFonts w:ascii="Times New Roman" w:eastAsia="Times New Roman" w:hAnsi="Times New Roman" w:cs="Times New Roman"/>
          <w:b/>
          <w:bCs/>
          <w:iCs/>
          <w:color w:val="000000"/>
          <w:sz w:val="24"/>
          <w:szCs w:val="24"/>
          <w:lang w:val="es-MX" w:eastAsia="es-ES"/>
        </w:rPr>
        <w:t xml:space="preserve">VIII.- El nexo causal como presupuesto de responsabilidad. La diversa tipología de las causas. </w:t>
      </w:r>
      <w:r w:rsidRPr="00951B99">
        <w:rPr>
          <w:rFonts w:ascii="Times New Roman" w:eastAsia="Times New Roman" w:hAnsi="Times New Roman" w:cs="Times New Roman"/>
          <w:iCs/>
          <w:color w:val="000000"/>
          <w:sz w:val="24"/>
          <w:szCs w:val="24"/>
          <w:lang w:val="es-MX" w:eastAsia="es-ES"/>
        </w:rPr>
        <w:t xml:space="preserve">Establecida en este caso, la anormalidad e ilicitud del comportamiento omisivo, resta por establecer si esa patológica inacción administrativa fue o no causa de la lesión reclamada, y en concreto, </w:t>
      </w:r>
      <w:r w:rsidR="00BA7BE0">
        <w:rPr>
          <w:rFonts w:ascii="Times New Roman" w:eastAsia="Times New Roman" w:hAnsi="Times New Roman" w:cs="Times New Roman"/>
          <w:iCs/>
          <w:color w:val="000000"/>
          <w:sz w:val="24"/>
          <w:szCs w:val="24"/>
          <w:lang w:val="es-MX" w:eastAsia="es-ES"/>
        </w:rPr>
        <w:t>del estado actual de la accionante</w:t>
      </w:r>
      <w:r w:rsidRPr="00951B99">
        <w:rPr>
          <w:rFonts w:ascii="Times New Roman" w:eastAsia="Times New Roman" w:hAnsi="Times New Roman" w:cs="Times New Roman"/>
          <w:iCs/>
          <w:color w:val="000000"/>
          <w:sz w:val="24"/>
          <w:szCs w:val="24"/>
          <w:lang w:val="es-MX" w:eastAsia="es-ES"/>
        </w:rPr>
        <w:t xml:space="preserve"> pues para la estimación de la demanda resulta imprescindible comprobar la existencia del nexo causal, en su tradicional noción de causa-efecto. Al respecto cabe recordar que en la producción del daño, suelen concurrir con frecuencia múltiples factores, dentro de los cuales es preciso determinar aquellos que directa o indirectamente son causa </w:t>
      </w:r>
      <w:r w:rsidRPr="00951B99">
        <w:rPr>
          <w:rFonts w:ascii="Times New Roman" w:eastAsia="Times New Roman" w:hAnsi="Times New Roman" w:cs="Times New Roman"/>
          <w:b/>
          <w:bCs/>
          <w:i/>
          <w:iCs/>
          <w:color w:val="000000"/>
          <w:sz w:val="24"/>
          <w:szCs w:val="24"/>
          <w:lang w:val="es-MX" w:eastAsia="es-ES"/>
        </w:rPr>
        <w:t xml:space="preserve">eficiente </w:t>
      </w:r>
      <w:r w:rsidRPr="00951B99">
        <w:rPr>
          <w:rFonts w:ascii="Times New Roman" w:eastAsia="Times New Roman" w:hAnsi="Times New Roman" w:cs="Times New Roman"/>
          <w:iCs/>
          <w:color w:val="000000"/>
          <w:sz w:val="24"/>
          <w:szCs w:val="24"/>
          <w:lang w:val="es-MX" w:eastAsia="es-ES"/>
        </w:rPr>
        <w:t xml:space="preserve">y </w:t>
      </w:r>
      <w:r w:rsidRPr="00951B99">
        <w:rPr>
          <w:rFonts w:ascii="Times New Roman" w:eastAsia="Times New Roman" w:hAnsi="Times New Roman" w:cs="Times New Roman"/>
          <w:b/>
          <w:bCs/>
          <w:i/>
          <w:iCs/>
          <w:color w:val="000000"/>
          <w:sz w:val="24"/>
          <w:szCs w:val="24"/>
          <w:lang w:val="es-MX" w:eastAsia="es-ES"/>
        </w:rPr>
        <w:t xml:space="preserve">adecuada </w:t>
      </w:r>
      <w:r w:rsidRPr="00951B99">
        <w:rPr>
          <w:rFonts w:ascii="Times New Roman" w:eastAsia="Times New Roman" w:hAnsi="Times New Roman" w:cs="Times New Roman"/>
          <w:iCs/>
          <w:color w:val="000000"/>
          <w:sz w:val="24"/>
          <w:szCs w:val="24"/>
          <w:lang w:val="es-MX" w:eastAsia="es-ES"/>
        </w:rPr>
        <w:t xml:space="preserve">del mal causado (sobre la causa próxima, adecuada y eficiente, puede consultarse la sentencia ya citada de la Sala Primera de la Corte Suprema de Justicia. N° 252-F-01, de las 16 horas 15 minutos del 28 de marzo del 2001). En esa confluencia de elementos fácticos o jurídicos que rodean la situación dañosa, habrá necesidad de establecer la acción u omisión apta que provocó la consecuencia; desplazando aquéllas que no han tenido ninguna influencia en el resultado (causas extrañas), de las que, de no haber tenido lugar, hubiesen evitado el menoscabo. Se trata de una especie de análisis objetivo, a través de la cual se pueda afirmar que con tal acción u omisión es lógico o probable que se produzca el daño específico. En el presente caso, es </w:t>
      </w:r>
    </w:p>
    <w:p w:rsidR="00B14228" w:rsidRDefault="00B14228" w:rsidP="00951B99">
      <w:pPr>
        <w:tabs>
          <w:tab w:val="left" w:pos="900"/>
        </w:tabs>
        <w:spacing w:before="100" w:beforeAutospacing="1" w:after="100" w:afterAutospacing="1" w:line="240" w:lineRule="auto"/>
        <w:jc w:val="both"/>
        <w:rPr>
          <w:rFonts w:ascii="Times New Roman" w:eastAsia="Times New Roman" w:hAnsi="Times New Roman" w:cs="Times New Roman"/>
          <w:iCs/>
          <w:color w:val="000000"/>
          <w:sz w:val="24"/>
          <w:szCs w:val="24"/>
          <w:lang w:eastAsia="es-ES"/>
        </w:rPr>
      </w:pPr>
      <w:r>
        <w:rPr>
          <w:rFonts w:ascii="Times New Roman" w:eastAsia="Times New Roman" w:hAnsi="Times New Roman" w:cs="Times New Roman"/>
          <w:b/>
          <w:bCs/>
          <w:iCs/>
          <w:color w:val="000000"/>
          <w:sz w:val="24"/>
          <w:szCs w:val="24"/>
          <w:lang w:val="es-ES_tradnl" w:eastAsia="es-ES"/>
        </w:rPr>
        <w:tab/>
        <w:t xml:space="preserve">“… </w:t>
      </w:r>
      <w:r>
        <w:rPr>
          <w:rFonts w:ascii="Times New Roman" w:eastAsia="Times New Roman" w:hAnsi="Times New Roman" w:cs="Times New Roman"/>
          <w:iCs/>
          <w:color w:val="000000"/>
          <w:sz w:val="24"/>
          <w:szCs w:val="24"/>
          <w:lang w:val="es-CR" w:eastAsia="es-ES"/>
        </w:rPr>
        <w:t xml:space="preserve">En cuanto al </w:t>
      </w:r>
      <w:r w:rsidRPr="00893562">
        <w:rPr>
          <w:rFonts w:ascii="Times New Roman" w:eastAsia="Times New Roman" w:hAnsi="Times New Roman" w:cs="Times New Roman"/>
          <w:b/>
          <w:iCs/>
          <w:color w:val="000000"/>
          <w:sz w:val="24"/>
          <w:szCs w:val="24"/>
          <w:lang w:val="es-CR" w:eastAsia="es-ES"/>
        </w:rPr>
        <w:t>daño moral</w:t>
      </w:r>
      <w:r>
        <w:rPr>
          <w:rFonts w:ascii="Times New Roman" w:eastAsia="Times New Roman" w:hAnsi="Times New Roman" w:cs="Times New Roman"/>
          <w:iCs/>
          <w:color w:val="000000"/>
          <w:sz w:val="24"/>
          <w:szCs w:val="24"/>
          <w:lang w:val="es-CR" w:eastAsia="es-ES"/>
        </w:rPr>
        <w:t>,  </w:t>
      </w:r>
      <w:r>
        <w:rPr>
          <w:rFonts w:ascii="Times New Roman" w:eastAsia="Times New Roman" w:hAnsi="Times New Roman" w:cs="Times New Roman"/>
          <w:iCs/>
          <w:color w:val="000000"/>
          <w:sz w:val="24"/>
          <w:szCs w:val="24"/>
          <w:lang w:val="es-ES_tradnl" w:eastAsia="es-ES"/>
        </w:rPr>
        <w:t>s</w:t>
      </w:r>
      <w:proofErr w:type="spellStart"/>
      <w:r w:rsidR="00951B99" w:rsidRPr="00951B99">
        <w:rPr>
          <w:rFonts w:ascii="Times New Roman" w:eastAsia="Times New Roman" w:hAnsi="Times New Roman" w:cs="Times New Roman"/>
          <w:iCs/>
          <w:color w:val="000000"/>
          <w:sz w:val="24"/>
          <w:szCs w:val="24"/>
          <w:lang w:eastAsia="es-ES"/>
        </w:rPr>
        <w:t>e</w:t>
      </w:r>
      <w:proofErr w:type="spellEnd"/>
      <w:r w:rsidR="00951B99" w:rsidRPr="00951B99">
        <w:rPr>
          <w:rFonts w:ascii="Times New Roman" w:eastAsia="Times New Roman" w:hAnsi="Times New Roman" w:cs="Times New Roman"/>
          <w:iCs/>
          <w:color w:val="000000"/>
          <w:sz w:val="24"/>
          <w:szCs w:val="24"/>
          <w:lang w:eastAsia="es-ES"/>
        </w:rPr>
        <w:t xml:space="preserve"> ha establecido en doctrina, que proviene de la lesión de un derecho extrapatrimonial y supone una perturbación injusta de las condiciones de la persona que se ve afectada por él.   </w:t>
      </w:r>
      <w:r w:rsidR="00951B99" w:rsidRPr="00893562">
        <w:rPr>
          <w:rFonts w:ascii="Times New Roman" w:eastAsia="Times New Roman" w:hAnsi="Times New Roman" w:cs="Times New Roman"/>
          <w:b/>
          <w:iCs/>
          <w:color w:val="000000"/>
          <w:sz w:val="24"/>
          <w:szCs w:val="24"/>
          <w:lang w:eastAsia="es-ES"/>
        </w:rPr>
        <w:t>No requiere de una prueba directa y queda a la equitativa valoración del Juez, por lo que es éste quien se encuentra facultado para decretar y cuantificar la condena. La naturaleza jurídica de este tipo de daño no obliga al interesado a determinar su existencia a través de prueba contundente porque corresponde a su ámbito interno, se deduce a través de las presunciones inferidas de indicios.</w:t>
      </w:r>
      <w:r w:rsidR="00951B99" w:rsidRPr="00951B99">
        <w:rPr>
          <w:rFonts w:ascii="Times New Roman" w:eastAsia="Times New Roman" w:hAnsi="Times New Roman" w:cs="Times New Roman"/>
          <w:iCs/>
          <w:color w:val="000000"/>
          <w:sz w:val="24"/>
          <w:szCs w:val="24"/>
          <w:lang w:eastAsia="es-ES"/>
        </w:rPr>
        <w:t xml:space="preserve">   El hecho generador pone de manifiesto el daño moral, pues cuando se daña la psiquis, la salud, la integridad física, el honor, la intimidad, etc. es posible inferir el daño, por ello se dice que la prueba del daño moral existe “in re </w:t>
      </w:r>
      <w:proofErr w:type="spellStart"/>
      <w:r w:rsidR="00951B99" w:rsidRPr="00951B99">
        <w:rPr>
          <w:rFonts w:ascii="Times New Roman" w:eastAsia="Times New Roman" w:hAnsi="Times New Roman" w:cs="Times New Roman"/>
          <w:iCs/>
          <w:color w:val="000000"/>
          <w:sz w:val="24"/>
          <w:szCs w:val="24"/>
          <w:lang w:eastAsia="es-ES"/>
        </w:rPr>
        <w:t>ipsa</w:t>
      </w:r>
      <w:proofErr w:type="spellEnd"/>
      <w:r w:rsidR="00951B99" w:rsidRPr="00951B99">
        <w:rPr>
          <w:rFonts w:ascii="Times New Roman" w:eastAsia="Times New Roman" w:hAnsi="Times New Roman" w:cs="Times New Roman"/>
          <w:iCs/>
          <w:color w:val="000000"/>
          <w:sz w:val="24"/>
          <w:szCs w:val="24"/>
          <w:lang w:eastAsia="es-ES"/>
        </w:rPr>
        <w:t xml:space="preserve">”.   </w:t>
      </w:r>
      <w:r w:rsidR="00951B99" w:rsidRPr="00893562">
        <w:rPr>
          <w:rFonts w:ascii="Times New Roman" w:eastAsia="Times New Roman" w:hAnsi="Times New Roman" w:cs="Times New Roman"/>
          <w:b/>
          <w:iCs/>
          <w:color w:val="000000"/>
          <w:sz w:val="24"/>
          <w:szCs w:val="24"/>
          <w:lang w:eastAsia="es-ES"/>
        </w:rPr>
        <w:t>De forma que, no es necesario probar su valor porque no tiene un valor concreto, se valora prudencialmente por parte del juzgador</w:t>
      </w:r>
      <w:r w:rsidR="00951B99" w:rsidRPr="00951B99">
        <w:rPr>
          <w:rFonts w:ascii="Times New Roman" w:eastAsia="Times New Roman" w:hAnsi="Times New Roman" w:cs="Times New Roman"/>
          <w:iCs/>
          <w:color w:val="000000"/>
          <w:sz w:val="24"/>
          <w:szCs w:val="24"/>
          <w:lang w:eastAsia="es-ES"/>
        </w:rPr>
        <w:t xml:space="preserve">. En relación, pueden consultarse, entre otras, las sentencias de esta Sala N° 265 de las 10 horas 40  minutos del 14 de mayo del 2003 y la N° 940   de las 9 horas 50 minutos del 4 de noviembre del año 2004. </w:t>
      </w:r>
      <w:r w:rsidR="00951B99" w:rsidRPr="00893562">
        <w:rPr>
          <w:rFonts w:ascii="Times New Roman" w:eastAsia="Times New Roman" w:hAnsi="Times New Roman" w:cs="Times New Roman"/>
          <w:b/>
          <w:iCs/>
          <w:color w:val="000000"/>
          <w:sz w:val="24"/>
          <w:szCs w:val="24"/>
          <w:lang w:eastAsia="es-ES"/>
        </w:rPr>
        <w:t>Desde luego, es indispensable la determinación del nexo causal entre el hecho productor y la lesión determinada.</w:t>
      </w:r>
      <w:r w:rsidR="00951B99" w:rsidRPr="00951B99">
        <w:rPr>
          <w:rFonts w:ascii="Times New Roman" w:eastAsia="Times New Roman" w:hAnsi="Times New Roman" w:cs="Times New Roman"/>
          <w:iCs/>
          <w:color w:val="000000"/>
          <w:sz w:val="24"/>
          <w:szCs w:val="24"/>
          <w:lang w:eastAsia="es-ES"/>
        </w:rPr>
        <w:t xml:space="preserve">   </w:t>
      </w:r>
    </w:p>
    <w:p w:rsidR="00951B99" w:rsidRPr="00951B99" w:rsidRDefault="00B14228" w:rsidP="00951B99">
      <w:pPr>
        <w:tabs>
          <w:tab w:val="left" w:pos="900"/>
        </w:tabs>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iCs/>
          <w:color w:val="000000"/>
          <w:sz w:val="24"/>
          <w:szCs w:val="24"/>
          <w:lang w:eastAsia="es-ES"/>
        </w:rPr>
        <w:tab/>
      </w:r>
      <w:r w:rsidR="00951B99" w:rsidRPr="00951B99">
        <w:rPr>
          <w:rFonts w:ascii="Times New Roman" w:eastAsia="Times New Roman" w:hAnsi="Times New Roman" w:cs="Times New Roman"/>
          <w:iCs/>
          <w:color w:val="000000"/>
          <w:sz w:val="24"/>
          <w:szCs w:val="24"/>
          <w:lang w:eastAsia="es-ES"/>
        </w:rPr>
        <w:t>En el presente caso, el nexo indicado es incuestionable, pues la</w:t>
      </w:r>
      <w:r>
        <w:rPr>
          <w:rFonts w:ascii="Times New Roman" w:eastAsia="Times New Roman" w:hAnsi="Times New Roman" w:cs="Times New Roman"/>
          <w:iCs/>
          <w:color w:val="000000"/>
          <w:sz w:val="24"/>
          <w:szCs w:val="24"/>
          <w:lang w:eastAsia="es-ES"/>
        </w:rPr>
        <w:t xml:space="preserve"> aflicción moral de la accionante. </w:t>
      </w:r>
    </w:p>
    <w:p w:rsidR="00951B99" w:rsidRPr="00951B99" w:rsidRDefault="00951B99" w:rsidP="00B14228">
      <w:pPr>
        <w:tabs>
          <w:tab w:val="left" w:pos="900"/>
        </w:tabs>
        <w:spacing w:before="100" w:beforeAutospacing="1" w:after="100" w:afterAutospacing="1" w:line="240" w:lineRule="auto"/>
        <w:jc w:val="both"/>
        <w:rPr>
          <w:rFonts w:ascii="Verdana" w:eastAsia="Times New Roman" w:hAnsi="Verdana" w:cs="Times New Roman"/>
          <w:b/>
          <w:bCs/>
          <w:color w:val="000000"/>
          <w:kern w:val="36"/>
          <w:sz w:val="20"/>
          <w:szCs w:val="20"/>
          <w:lang w:eastAsia="es-ES"/>
        </w:rPr>
      </w:pPr>
      <w:r w:rsidRPr="00951B99">
        <w:rPr>
          <w:rFonts w:ascii="Verdana" w:eastAsia="Times New Roman" w:hAnsi="Verdana" w:cs="Times New Roman"/>
          <w:iCs/>
          <w:color w:val="000000"/>
          <w:sz w:val="20"/>
          <w:szCs w:val="20"/>
          <w:lang w:eastAsia="es-ES"/>
        </w:rPr>
        <w:t xml:space="preserve">            </w:t>
      </w:r>
    </w:p>
    <w:p w:rsidR="005A2586" w:rsidRDefault="005A2586"/>
    <w:sectPr w:rsidR="005A2586" w:rsidSect="005A25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51B99"/>
    <w:rsid w:val="001D4D41"/>
    <w:rsid w:val="002114B8"/>
    <w:rsid w:val="002348A4"/>
    <w:rsid w:val="00263B87"/>
    <w:rsid w:val="003C065A"/>
    <w:rsid w:val="0043340D"/>
    <w:rsid w:val="005A2586"/>
    <w:rsid w:val="0060791A"/>
    <w:rsid w:val="00893562"/>
    <w:rsid w:val="00951B99"/>
    <w:rsid w:val="00A36B9B"/>
    <w:rsid w:val="00A66E44"/>
    <w:rsid w:val="00B14228"/>
    <w:rsid w:val="00BA7BE0"/>
    <w:rsid w:val="00E0160B"/>
    <w:rsid w:val="00F01129"/>
    <w:rsid w:val="00F924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951B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951B99"/>
    <w:rPr>
      <w:rFonts w:ascii="Times New Roman" w:eastAsia="Times New Roman" w:hAnsi="Times New Roman" w:cs="Times New Roman"/>
      <w:sz w:val="24"/>
      <w:szCs w:val="24"/>
      <w:lang w:eastAsia="es-ES"/>
    </w:rPr>
  </w:style>
  <w:style w:type="paragraph" w:styleId="Textodebloque">
    <w:name w:val="Block Text"/>
    <w:basedOn w:val="Normal"/>
    <w:uiPriority w:val="99"/>
    <w:semiHidden/>
    <w:unhideWhenUsed/>
    <w:rsid w:val="00951B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textual">
    <w:name w:val="citatextual"/>
    <w:basedOn w:val="Normal"/>
    <w:rsid w:val="00951B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951B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951B99"/>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2688</Words>
  <Characters>14786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IVSTITIA</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cmanavella</dc:creator>
  <cp:keywords/>
  <dc:description/>
  <cp:lastModifiedBy>Carlos Manavella</cp:lastModifiedBy>
  <cp:revision>12</cp:revision>
  <dcterms:created xsi:type="dcterms:W3CDTF">2008-08-22T19:26:00Z</dcterms:created>
  <dcterms:modified xsi:type="dcterms:W3CDTF">2016-02-22T19:22:00Z</dcterms:modified>
</cp:coreProperties>
</file>