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2CA" w:rsidRPr="009772CA" w:rsidRDefault="009772CA" w:rsidP="009772CA">
      <w:pPr>
        <w:spacing w:after="0" w:line="240" w:lineRule="auto"/>
        <w:rPr>
          <w:rFonts w:eastAsiaTheme="minorEastAsia"/>
          <w:lang w:val="es-CR" w:eastAsia="es-ES"/>
        </w:rPr>
      </w:pPr>
    </w:p>
    <w:p w:rsidR="009772CA" w:rsidRPr="009772CA" w:rsidRDefault="009772CA" w:rsidP="009772CA">
      <w:pPr>
        <w:spacing w:after="0" w:line="240" w:lineRule="auto"/>
        <w:rPr>
          <w:rFonts w:eastAsiaTheme="minorEastAsia"/>
          <w:lang w:val="es-CR" w:eastAsia="es-ES"/>
        </w:rPr>
      </w:pPr>
    </w:p>
    <w:p w:rsidR="009772CA" w:rsidRPr="009772CA" w:rsidRDefault="009772CA" w:rsidP="009772CA">
      <w:pPr>
        <w:spacing w:after="0" w:line="240" w:lineRule="auto"/>
        <w:rPr>
          <w:rFonts w:eastAsiaTheme="minorEastAsia"/>
          <w:lang w:val="es-CR" w:eastAsia="es-ES"/>
        </w:rPr>
      </w:pPr>
    </w:p>
    <w:p w:rsidR="009772CA" w:rsidRPr="009772CA" w:rsidRDefault="009772CA" w:rsidP="009772CA">
      <w:pPr>
        <w:spacing w:after="0" w:line="240" w:lineRule="auto"/>
        <w:jc w:val="center"/>
        <w:rPr>
          <w:rFonts w:ascii="Arial" w:eastAsiaTheme="minorEastAsia" w:hAnsi="Arial" w:cs="Arial"/>
          <w:sz w:val="44"/>
          <w:szCs w:val="44"/>
          <w:lang w:val="es-CR" w:eastAsia="es-ES"/>
        </w:rPr>
      </w:pPr>
    </w:p>
    <w:p w:rsidR="009772CA" w:rsidRPr="009772CA" w:rsidRDefault="009772CA" w:rsidP="009772CA">
      <w:pPr>
        <w:spacing w:after="0" w:line="240" w:lineRule="auto"/>
        <w:jc w:val="center"/>
        <w:rPr>
          <w:rFonts w:ascii="Arial" w:eastAsiaTheme="minorEastAsia" w:hAnsi="Arial" w:cs="Arial"/>
          <w:sz w:val="44"/>
          <w:szCs w:val="44"/>
          <w:lang w:val="es-CR" w:eastAsia="es-ES"/>
        </w:rPr>
      </w:pPr>
    </w:p>
    <w:p w:rsidR="009772CA" w:rsidRPr="009772CA" w:rsidRDefault="009772CA" w:rsidP="009772CA">
      <w:pPr>
        <w:spacing w:after="0" w:line="240" w:lineRule="auto"/>
        <w:jc w:val="center"/>
        <w:rPr>
          <w:rFonts w:ascii="Arial" w:eastAsiaTheme="minorEastAsia" w:hAnsi="Arial" w:cs="Arial"/>
          <w:sz w:val="44"/>
          <w:szCs w:val="44"/>
          <w:lang w:val="es-CR" w:eastAsia="es-ES"/>
        </w:rPr>
      </w:pPr>
    </w:p>
    <w:p w:rsidR="009772CA" w:rsidRPr="009772CA" w:rsidRDefault="009772CA" w:rsidP="009772CA">
      <w:pPr>
        <w:spacing w:after="0" w:line="240" w:lineRule="auto"/>
        <w:jc w:val="center"/>
        <w:rPr>
          <w:rFonts w:ascii="Arial" w:eastAsiaTheme="minorEastAsia" w:hAnsi="Arial" w:cs="Arial"/>
          <w:sz w:val="44"/>
          <w:szCs w:val="44"/>
          <w:lang w:val="es-CR" w:eastAsia="es-ES"/>
        </w:rPr>
      </w:pPr>
    </w:p>
    <w:p w:rsidR="009772CA" w:rsidRPr="009772CA" w:rsidRDefault="009772CA" w:rsidP="009772CA">
      <w:pPr>
        <w:spacing w:after="0" w:line="240" w:lineRule="auto"/>
        <w:jc w:val="center"/>
        <w:rPr>
          <w:rFonts w:ascii="Arial" w:eastAsiaTheme="minorEastAsia" w:hAnsi="Arial" w:cs="Arial"/>
          <w:sz w:val="44"/>
          <w:szCs w:val="44"/>
          <w:lang w:val="es-CR" w:eastAsia="es-ES"/>
        </w:rPr>
      </w:pPr>
    </w:p>
    <w:p w:rsidR="009772CA" w:rsidRPr="009772CA" w:rsidRDefault="009772CA" w:rsidP="009772CA">
      <w:pPr>
        <w:spacing w:after="0" w:line="240" w:lineRule="auto"/>
        <w:jc w:val="center"/>
        <w:rPr>
          <w:rFonts w:ascii="Arial" w:eastAsiaTheme="minorEastAsia" w:hAnsi="Arial" w:cs="Arial"/>
          <w:b/>
          <w:sz w:val="48"/>
          <w:szCs w:val="44"/>
          <w:lang w:val="es-CR" w:eastAsia="es-ES"/>
        </w:rPr>
      </w:pPr>
      <w:r w:rsidRPr="009772CA">
        <w:rPr>
          <w:rFonts w:ascii="Arial" w:eastAsiaTheme="minorEastAsia" w:hAnsi="Arial" w:cs="Arial"/>
          <w:b/>
          <w:sz w:val="48"/>
          <w:szCs w:val="44"/>
          <w:lang w:val="es-CR" w:eastAsia="es-ES"/>
        </w:rPr>
        <w:t>Directriz DGT-D-12-2014</w:t>
      </w:r>
    </w:p>
    <w:p w:rsidR="009772CA" w:rsidRPr="009772CA" w:rsidRDefault="009772CA" w:rsidP="009772CA">
      <w:pPr>
        <w:spacing w:after="0" w:line="240" w:lineRule="auto"/>
        <w:jc w:val="center"/>
        <w:rPr>
          <w:rFonts w:ascii="Arial" w:eastAsiaTheme="minorEastAsia" w:hAnsi="Arial" w:cs="Arial"/>
          <w:b/>
          <w:sz w:val="48"/>
          <w:szCs w:val="32"/>
          <w:lang w:val="es-CR" w:eastAsia="es-ES"/>
        </w:rPr>
      </w:pPr>
    </w:p>
    <w:p w:rsidR="009772CA" w:rsidRPr="009772CA" w:rsidRDefault="009772CA" w:rsidP="009772CA">
      <w:pPr>
        <w:spacing w:after="0" w:line="240" w:lineRule="auto"/>
        <w:jc w:val="center"/>
        <w:rPr>
          <w:rFonts w:ascii="Arial" w:eastAsiaTheme="minorEastAsia" w:hAnsi="Arial" w:cs="Arial"/>
          <w:b/>
          <w:sz w:val="48"/>
          <w:szCs w:val="44"/>
          <w:lang w:val="es-CR" w:eastAsia="es-ES"/>
        </w:rPr>
      </w:pPr>
      <w:r w:rsidRPr="009772CA">
        <w:rPr>
          <w:rFonts w:ascii="Arial" w:eastAsiaTheme="minorEastAsia" w:hAnsi="Arial" w:cs="Arial"/>
          <w:b/>
          <w:sz w:val="48"/>
          <w:szCs w:val="44"/>
          <w:lang w:val="es-CR" w:eastAsia="es-ES"/>
        </w:rPr>
        <w:t>Notificación de la propuesta motivada en el procedimiento sancionador y plazo para presentar alegatos y pruebas</w:t>
      </w:r>
    </w:p>
    <w:p w:rsidR="009772CA" w:rsidRPr="009772CA" w:rsidRDefault="009772CA" w:rsidP="009772CA">
      <w:pPr>
        <w:spacing w:after="0" w:line="240" w:lineRule="auto"/>
        <w:jc w:val="center"/>
        <w:rPr>
          <w:rFonts w:ascii="Arial" w:eastAsiaTheme="minorEastAsia" w:hAnsi="Arial" w:cs="Arial"/>
          <w:b/>
          <w:sz w:val="48"/>
          <w:szCs w:val="44"/>
          <w:lang w:val="es-CR" w:eastAsia="es-ES"/>
        </w:rPr>
      </w:pPr>
    </w:p>
    <w:p w:rsidR="009772CA" w:rsidRPr="009772CA" w:rsidRDefault="009772CA" w:rsidP="009772CA">
      <w:pPr>
        <w:spacing w:after="0" w:line="240" w:lineRule="auto"/>
        <w:jc w:val="center"/>
        <w:rPr>
          <w:rFonts w:ascii="Arial" w:eastAsiaTheme="minorEastAsia" w:hAnsi="Arial" w:cs="Arial"/>
          <w:b/>
          <w:sz w:val="44"/>
          <w:szCs w:val="32"/>
          <w:lang w:val="es-CR" w:eastAsia="es-ES"/>
        </w:rPr>
      </w:pPr>
    </w:p>
    <w:p w:rsidR="009772CA" w:rsidRPr="009772CA" w:rsidRDefault="009772CA" w:rsidP="009772CA">
      <w:pPr>
        <w:spacing w:after="0" w:line="240" w:lineRule="auto"/>
        <w:jc w:val="center"/>
        <w:rPr>
          <w:rFonts w:ascii="Arial" w:eastAsiaTheme="minorEastAsia" w:hAnsi="Arial" w:cs="Arial"/>
          <w:b/>
          <w:sz w:val="44"/>
          <w:szCs w:val="32"/>
          <w:lang w:val="es-CR" w:eastAsia="es-ES"/>
        </w:rPr>
      </w:pPr>
    </w:p>
    <w:p w:rsidR="009772CA" w:rsidRPr="009772CA" w:rsidRDefault="009772CA" w:rsidP="009772CA">
      <w:pPr>
        <w:spacing w:after="0" w:line="240" w:lineRule="auto"/>
        <w:jc w:val="center"/>
        <w:rPr>
          <w:rFonts w:ascii="Arial" w:eastAsiaTheme="minorEastAsia" w:hAnsi="Arial" w:cs="Arial"/>
          <w:b/>
          <w:sz w:val="44"/>
          <w:szCs w:val="32"/>
          <w:lang w:val="es-CR" w:eastAsia="es-ES"/>
        </w:rPr>
      </w:pPr>
    </w:p>
    <w:p w:rsidR="009772CA" w:rsidRPr="009772CA" w:rsidRDefault="009772CA" w:rsidP="009772CA">
      <w:pPr>
        <w:spacing w:after="0" w:line="240" w:lineRule="auto"/>
        <w:jc w:val="center"/>
        <w:rPr>
          <w:rFonts w:ascii="Arial" w:eastAsiaTheme="minorEastAsia" w:hAnsi="Arial" w:cs="Arial"/>
          <w:b/>
          <w:sz w:val="44"/>
          <w:szCs w:val="32"/>
          <w:lang w:val="es-CR" w:eastAsia="es-ES"/>
        </w:rPr>
      </w:pPr>
    </w:p>
    <w:p w:rsidR="009772CA" w:rsidRPr="009772CA" w:rsidRDefault="009772CA" w:rsidP="009772CA">
      <w:pPr>
        <w:spacing w:after="0" w:line="240" w:lineRule="auto"/>
        <w:jc w:val="center"/>
        <w:rPr>
          <w:rFonts w:ascii="Arial" w:eastAsiaTheme="minorEastAsia" w:hAnsi="Arial" w:cs="Arial"/>
          <w:b/>
          <w:sz w:val="44"/>
          <w:szCs w:val="32"/>
          <w:lang w:val="es-CR" w:eastAsia="es-ES"/>
        </w:rPr>
      </w:pPr>
    </w:p>
    <w:p w:rsidR="009772CA" w:rsidRPr="009772CA" w:rsidRDefault="009772CA" w:rsidP="009772CA">
      <w:pPr>
        <w:spacing w:after="0" w:line="240" w:lineRule="auto"/>
        <w:jc w:val="center"/>
        <w:rPr>
          <w:rFonts w:ascii="Arial" w:eastAsiaTheme="minorEastAsia" w:hAnsi="Arial" w:cs="Arial"/>
          <w:b/>
          <w:sz w:val="36"/>
          <w:szCs w:val="32"/>
          <w:lang w:val="es-CR" w:eastAsia="es-ES"/>
        </w:rPr>
      </w:pPr>
      <w:r w:rsidRPr="009772CA">
        <w:rPr>
          <w:rFonts w:ascii="Arial" w:eastAsiaTheme="minorEastAsia" w:hAnsi="Arial" w:cs="Arial"/>
          <w:b/>
          <w:sz w:val="36"/>
          <w:szCs w:val="32"/>
          <w:lang w:val="es-CR" w:eastAsia="es-ES"/>
        </w:rPr>
        <w:t>DIRECCIÓN GENERAL DE TRIBUTACIÓN</w:t>
      </w:r>
    </w:p>
    <w:p w:rsidR="009772CA" w:rsidRPr="009772CA" w:rsidRDefault="009772CA" w:rsidP="009772CA">
      <w:pPr>
        <w:spacing w:after="0" w:line="240" w:lineRule="auto"/>
        <w:jc w:val="center"/>
        <w:rPr>
          <w:rFonts w:ascii="Arial" w:eastAsiaTheme="minorEastAsia" w:hAnsi="Arial" w:cs="Arial"/>
          <w:sz w:val="40"/>
          <w:szCs w:val="32"/>
          <w:lang w:val="es-CR" w:eastAsia="es-ES"/>
        </w:rPr>
      </w:pPr>
    </w:p>
    <w:p w:rsidR="009772CA" w:rsidRPr="009772CA" w:rsidRDefault="009772CA" w:rsidP="009772CA">
      <w:pPr>
        <w:spacing w:after="0" w:line="240" w:lineRule="auto"/>
        <w:rPr>
          <w:rFonts w:eastAsiaTheme="minorEastAsia"/>
          <w:sz w:val="20"/>
          <w:lang w:val="es-CR" w:eastAsia="es-ES"/>
        </w:rPr>
      </w:pPr>
    </w:p>
    <w:p w:rsidR="009772CA" w:rsidRPr="009772CA" w:rsidRDefault="009772CA" w:rsidP="009772CA">
      <w:pPr>
        <w:spacing w:after="0" w:line="240" w:lineRule="auto"/>
        <w:rPr>
          <w:rFonts w:eastAsiaTheme="minorEastAsia"/>
          <w:lang w:val="es-CR" w:eastAsia="es-ES"/>
        </w:rPr>
      </w:pPr>
    </w:p>
    <w:p w:rsidR="009772CA" w:rsidRPr="009772CA" w:rsidRDefault="009772CA" w:rsidP="009772CA">
      <w:pPr>
        <w:spacing w:after="0" w:line="240" w:lineRule="auto"/>
        <w:rPr>
          <w:rFonts w:eastAsiaTheme="minorEastAsia"/>
          <w:lang w:val="es-CR" w:eastAsia="es-ES"/>
        </w:rPr>
      </w:pPr>
      <w:r w:rsidRPr="009772CA">
        <w:rPr>
          <w:rFonts w:eastAsiaTheme="minorEastAsia"/>
          <w:lang w:val="es-CR" w:eastAsia="es-CR"/>
        </w:rPr>
        <w:br w:type="page"/>
      </w:r>
    </w:p>
    <w:p w:rsidR="009772CA" w:rsidRPr="009772CA" w:rsidRDefault="009772CA" w:rsidP="009772CA">
      <w:pPr>
        <w:spacing w:after="0" w:line="240" w:lineRule="auto"/>
        <w:rPr>
          <w:rFonts w:eastAsiaTheme="minorEastAsia"/>
          <w:lang w:val="es-CR" w:eastAsia="es-ES"/>
        </w:rPr>
      </w:pPr>
    </w:p>
    <w:p w:rsidR="009772CA" w:rsidRPr="009772CA" w:rsidRDefault="009772CA" w:rsidP="009772CA">
      <w:pPr>
        <w:spacing w:after="0" w:line="240" w:lineRule="auto"/>
        <w:contextualSpacing/>
        <w:jc w:val="right"/>
        <w:rPr>
          <w:rFonts w:ascii="Arial Narrow" w:eastAsiaTheme="minorEastAsia" w:hAnsi="Arial Narrow"/>
          <w:b/>
          <w:lang w:val="es-CR" w:eastAsia="es-ES"/>
        </w:rPr>
      </w:pPr>
    </w:p>
    <w:p w:rsidR="009772CA" w:rsidRPr="009772CA" w:rsidRDefault="009772CA" w:rsidP="009772CA">
      <w:pPr>
        <w:spacing w:after="0" w:line="240" w:lineRule="auto"/>
        <w:jc w:val="center"/>
        <w:rPr>
          <w:rFonts w:ascii="Arial Narrow" w:eastAsia="Times New Roman" w:hAnsi="Arial Narrow" w:cs="Arial"/>
          <w:b/>
          <w:bCs/>
          <w:sz w:val="24"/>
          <w:szCs w:val="24"/>
          <w:lang w:val="es-MX" w:eastAsia="es-ES"/>
        </w:rPr>
      </w:pPr>
      <w:r w:rsidRPr="009772CA">
        <w:rPr>
          <w:rFonts w:ascii="Arial Narrow" w:eastAsia="Times New Roman" w:hAnsi="Arial Narrow" w:cs="Arial"/>
          <w:b/>
          <w:bCs/>
          <w:sz w:val="24"/>
          <w:szCs w:val="24"/>
          <w:lang w:val="es-MX" w:eastAsia="es-ES"/>
        </w:rPr>
        <w:t>DGT-D-12-2014</w:t>
      </w:r>
    </w:p>
    <w:p w:rsidR="009772CA" w:rsidRPr="009772CA" w:rsidRDefault="009772CA" w:rsidP="009772CA">
      <w:pPr>
        <w:spacing w:after="0" w:line="240" w:lineRule="auto"/>
        <w:jc w:val="center"/>
        <w:rPr>
          <w:rFonts w:ascii="Arial Narrow" w:eastAsia="Times New Roman" w:hAnsi="Arial Narrow" w:cs="Arial"/>
          <w:bCs/>
          <w:sz w:val="24"/>
          <w:szCs w:val="24"/>
          <w:lang w:val="es-MX" w:eastAsia="es-ES"/>
        </w:rPr>
      </w:pPr>
      <w:r w:rsidRPr="009772CA">
        <w:rPr>
          <w:rFonts w:ascii="Arial Narrow" w:eastAsia="Times New Roman" w:hAnsi="Arial Narrow" w:cs="Arial"/>
          <w:bCs/>
          <w:sz w:val="24"/>
          <w:szCs w:val="24"/>
          <w:lang w:val="es-MX" w:eastAsia="es-ES"/>
        </w:rPr>
        <w:t>San José, 9 de octubre de 2014.</w:t>
      </w: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rPr>
          <w:rFonts w:ascii="Arial Narrow" w:eastAsiaTheme="minorEastAsia" w:hAnsi="Arial Narrow"/>
          <w:b/>
          <w:sz w:val="24"/>
          <w:szCs w:val="24"/>
          <w:lang w:val="es-CR" w:eastAsia="es-ES"/>
        </w:rPr>
      </w:pPr>
    </w:p>
    <w:p w:rsidR="009772CA" w:rsidRPr="009772CA" w:rsidRDefault="009772CA" w:rsidP="009772CA">
      <w:pPr>
        <w:spacing w:after="0" w:line="240" w:lineRule="auto"/>
        <w:ind w:left="4962"/>
        <w:contextualSpacing/>
        <w:jc w:val="both"/>
        <w:rPr>
          <w:rFonts w:ascii="Arial Narrow" w:eastAsiaTheme="minorEastAsia" w:hAnsi="Arial Narrow"/>
          <w:sz w:val="24"/>
          <w:szCs w:val="24"/>
          <w:lang w:val="es-CR" w:eastAsia="es-ES"/>
        </w:rPr>
      </w:pPr>
      <w:r w:rsidRPr="009772CA">
        <w:rPr>
          <w:rFonts w:ascii="Arial Narrow" w:eastAsiaTheme="minorEastAsia" w:hAnsi="Arial Narrow"/>
          <w:b/>
          <w:sz w:val="24"/>
          <w:szCs w:val="24"/>
          <w:lang w:val="es-CR" w:eastAsia="es-ES"/>
        </w:rPr>
        <w:t xml:space="preserve">Asunto: </w:t>
      </w:r>
      <w:r w:rsidRPr="009772CA">
        <w:rPr>
          <w:rFonts w:ascii="Arial Narrow" w:eastAsiaTheme="minorEastAsia" w:hAnsi="Arial Narrow"/>
          <w:sz w:val="24"/>
          <w:szCs w:val="24"/>
          <w:lang w:val="es-CR" w:eastAsia="es-ES"/>
        </w:rPr>
        <w:t>Notificación de la propuesta motivada en el procedimiento sancionador y plazo para presentar alegatos y pruebas</w:t>
      </w:r>
    </w:p>
    <w:p w:rsidR="009772CA" w:rsidRPr="009772CA" w:rsidRDefault="009772CA" w:rsidP="009772CA">
      <w:pPr>
        <w:spacing w:after="0" w:line="240" w:lineRule="auto"/>
        <w:jc w:val="both"/>
        <w:rPr>
          <w:rFonts w:ascii="Arial Narrow" w:eastAsiaTheme="minorEastAsia" w:hAnsi="Arial Narrow" w:cs="Arial"/>
          <w:sz w:val="24"/>
          <w:szCs w:val="24"/>
          <w:lang w:val="es-CR" w:eastAsia="es-ES"/>
        </w:rPr>
      </w:pPr>
    </w:p>
    <w:p w:rsidR="009772CA" w:rsidRPr="009772CA" w:rsidRDefault="009772CA" w:rsidP="009772CA">
      <w:pPr>
        <w:spacing w:after="0" w:line="240" w:lineRule="auto"/>
        <w:jc w:val="both"/>
        <w:rPr>
          <w:rFonts w:ascii="Arial Narrow" w:eastAsiaTheme="minorEastAsia" w:hAnsi="Arial Narrow" w:cs="Arial"/>
          <w:sz w:val="24"/>
          <w:szCs w:val="24"/>
          <w:lang w:val="es-CR" w:eastAsia="es-ES"/>
        </w:rPr>
      </w:pPr>
    </w:p>
    <w:p w:rsidR="009772CA" w:rsidRPr="009772CA" w:rsidRDefault="009772CA" w:rsidP="009772CA">
      <w:pPr>
        <w:spacing w:after="0" w:line="240" w:lineRule="auto"/>
        <w:jc w:val="both"/>
        <w:rPr>
          <w:rFonts w:ascii="Arial Narrow" w:eastAsiaTheme="minorEastAsia" w:hAnsi="Arial Narrow" w:cs="Arial"/>
          <w:sz w:val="24"/>
          <w:szCs w:val="24"/>
          <w:lang w:val="es-CR" w:eastAsia="es-ES"/>
        </w:rPr>
      </w:pPr>
      <w:r w:rsidRPr="009772CA">
        <w:rPr>
          <w:rFonts w:ascii="Arial Narrow" w:eastAsiaTheme="minorEastAsia" w:hAnsi="Arial Narrow" w:cs="Arial"/>
          <w:sz w:val="24"/>
          <w:szCs w:val="24"/>
          <w:lang w:val="es-CR" w:eastAsia="es-ES"/>
        </w:rPr>
        <w:t>Señores (as)</w:t>
      </w:r>
    </w:p>
    <w:p w:rsidR="009772CA" w:rsidRPr="009772CA" w:rsidRDefault="009772CA" w:rsidP="009772CA">
      <w:pPr>
        <w:spacing w:after="0" w:line="240" w:lineRule="auto"/>
        <w:jc w:val="both"/>
        <w:rPr>
          <w:rFonts w:ascii="Arial Narrow" w:eastAsiaTheme="minorEastAsia" w:hAnsi="Arial Narrow" w:cs="Arial"/>
          <w:sz w:val="24"/>
          <w:szCs w:val="24"/>
          <w:lang w:val="es-CR" w:eastAsia="es-ES"/>
        </w:rPr>
      </w:pPr>
    </w:p>
    <w:p w:rsidR="009772CA" w:rsidRPr="009772CA" w:rsidRDefault="009772CA" w:rsidP="009772CA">
      <w:pPr>
        <w:spacing w:after="0" w:line="240" w:lineRule="auto"/>
        <w:jc w:val="both"/>
        <w:rPr>
          <w:rFonts w:ascii="Arial Narrow" w:eastAsiaTheme="minorEastAsia" w:hAnsi="Arial Narrow" w:cs="Arial"/>
          <w:b/>
          <w:sz w:val="24"/>
          <w:szCs w:val="24"/>
          <w:lang w:val="es-CR" w:eastAsia="es-ES"/>
        </w:rPr>
      </w:pPr>
      <w:r w:rsidRPr="009772CA">
        <w:rPr>
          <w:rFonts w:ascii="Arial Narrow" w:eastAsiaTheme="minorEastAsia" w:hAnsi="Arial Narrow" w:cs="Arial"/>
          <w:b/>
          <w:sz w:val="24"/>
          <w:szCs w:val="24"/>
          <w:lang w:val="es-CR" w:eastAsia="es-ES"/>
        </w:rPr>
        <w:t xml:space="preserve">Directores de las Direcciones Normativas, </w:t>
      </w:r>
    </w:p>
    <w:p w:rsidR="009772CA" w:rsidRPr="009772CA" w:rsidRDefault="009772CA" w:rsidP="009772CA">
      <w:pPr>
        <w:spacing w:after="0" w:line="240" w:lineRule="auto"/>
        <w:jc w:val="both"/>
        <w:rPr>
          <w:rFonts w:ascii="Arial Narrow" w:eastAsiaTheme="minorEastAsia" w:hAnsi="Arial Narrow" w:cs="Arial"/>
          <w:b/>
          <w:sz w:val="24"/>
          <w:szCs w:val="24"/>
          <w:lang w:val="es-CR" w:eastAsia="es-ES"/>
        </w:rPr>
      </w:pPr>
      <w:r w:rsidRPr="009772CA">
        <w:rPr>
          <w:rFonts w:ascii="Arial Narrow" w:eastAsiaTheme="minorEastAsia" w:hAnsi="Arial Narrow" w:cs="Arial"/>
          <w:b/>
          <w:sz w:val="24"/>
          <w:szCs w:val="24"/>
          <w:lang w:val="es-CR" w:eastAsia="es-ES"/>
        </w:rPr>
        <w:t xml:space="preserve">Directores Regionales, </w:t>
      </w:r>
    </w:p>
    <w:p w:rsidR="009772CA" w:rsidRPr="009772CA" w:rsidRDefault="009772CA" w:rsidP="009772CA">
      <w:pPr>
        <w:spacing w:after="0" w:line="240" w:lineRule="auto"/>
        <w:jc w:val="both"/>
        <w:rPr>
          <w:rFonts w:ascii="Arial Narrow" w:eastAsiaTheme="minorEastAsia" w:hAnsi="Arial Narrow" w:cs="Arial"/>
          <w:b/>
          <w:sz w:val="24"/>
          <w:szCs w:val="24"/>
          <w:lang w:val="es-CR" w:eastAsia="es-ES"/>
        </w:rPr>
      </w:pPr>
      <w:r w:rsidRPr="009772CA">
        <w:rPr>
          <w:rFonts w:ascii="Arial Narrow" w:eastAsiaTheme="minorEastAsia" w:hAnsi="Arial Narrow" w:cs="Arial"/>
          <w:b/>
          <w:sz w:val="24"/>
          <w:szCs w:val="24"/>
          <w:lang w:val="es-CR" w:eastAsia="es-ES"/>
        </w:rPr>
        <w:t>Dirección de Grandes Contribuyentes Nacionales,</w:t>
      </w:r>
    </w:p>
    <w:p w:rsidR="009772CA" w:rsidRPr="009772CA" w:rsidRDefault="009772CA" w:rsidP="009772CA">
      <w:pPr>
        <w:spacing w:after="0" w:line="240" w:lineRule="auto"/>
        <w:jc w:val="both"/>
        <w:rPr>
          <w:rFonts w:ascii="Arial Narrow" w:eastAsiaTheme="minorEastAsia" w:hAnsi="Arial Narrow"/>
          <w:b/>
          <w:sz w:val="24"/>
          <w:szCs w:val="24"/>
          <w:lang w:val="es-CR" w:eastAsia="es-ES"/>
        </w:rPr>
      </w:pP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p>
    <w:p w:rsidR="009772CA" w:rsidRPr="009772CA" w:rsidRDefault="009772CA" w:rsidP="009772CA">
      <w:pPr>
        <w:spacing w:after="0" w:line="240" w:lineRule="auto"/>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Estimados (as) señores (as):</w:t>
      </w:r>
    </w:p>
    <w:p w:rsidR="009772CA" w:rsidRPr="009772CA" w:rsidRDefault="009772CA" w:rsidP="009772CA">
      <w:pPr>
        <w:spacing w:after="0" w:line="240" w:lineRule="auto"/>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 </w:t>
      </w:r>
    </w:p>
    <w:p w:rsidR="009772CA" w:rsidRPr="009772CA" w:rsidRDefault="009772CA" w:rsidP="009772CA">
      <w:pPr>
        <w:spacing w:after="0" w:line="240" w:lineRule="auto"/>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ab/>
        <w:t>Con fundamento en las facultades establecidas en el Decreto Ejecutivo N° 35688-H de 27 de noviembre de 2009, publicado en el Diario Oficial  “La Gaceta” N° 14 de 21 de enero de 2010, se emite la presente Directriz, mediante la cual se define el formato y notificación de la Propuesta motivada en los procedimientos sancionatorios.</w:t>
      </w:r>
    </w:p>
    <w:p w:rsidR="009772CA" w:rsidRPr="009772CA" w:rsidRDefault="009772CA" w:rsidP="009772CA">
      <w:pPr>
        <w:spacing w:after="0" w:line="240" w:lineRule="auto"/>
        <w:jc w:val="both"/>
        <w:rPr>
          <w:rFonts w:ascii="Arial Narrow" w:eastAsiaTheme="minorEastAsia" w:hAnsi="Arial Narrow"/>
          <w:sz w:val="24"/>
          <w:szCs w:val="24"/>
          <w:lang w:val="es-CR" w:eastAsia="es-ES"/>
        </w:rPr>
      </w:pPr>
    </w:p>
    <w:p w:rsidR="009772CA" w:rsidRPr="009772CA" w:rsidRDefault="009772CA" w:rsidP="009772CA">
      <w:pPr>
        <w:spacing w:after="0" w:line="240" w:lineRule="auto"/>
        <w:ind w:firstLine="708"/>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Rige a partir de su comunicación.  </w:t>
      </w:r>
    </w:p>
    <w:p w:rsidR="009772CA" w:rsidRPr="009772CA" w:rsidRDefault="009772CA" w:rsidP="009772CA">
      <w:pPr>
        <w:spacing w:after="0" w:line="240" w:lineRule="auto"/>
        <w:jc w:val="both"/>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jc w:val="center"/>
        <w:rPr>
          <w:rFonts w:ascii="Arial Narrow" w:eastAsiaTheme="minorEastAsia" w:hAnsi="Arial Narrow"/>
          <w:b/>
          <w:sz w:val="24"/>
          <w:szCs w:val="24"/>
          <w:lang w:val="es-CR" w:eastAsia="es-ES"/>
        </w:rPr>
      </w:pPr>
      <w:r w:rsidRPr="009772CA">
        <w:rPr>
          <w:rFonts w:ascii="Arial Narrow" w:eastAsiaTheme="minorEastAsia" w:hAnsi="Arial Narrow"/>
          <w:b/>
          <w:sz w:val="24"/>
          <w:szCs w:val="24"/>
          <w:lang w:val="es-CR" w:eastAsia="es-ES"/>
        </w:rPr>
        <w:t>Juan Carlos Gómez Sánchez</w:t>
      </w:r>
    </w:p>
    <w:p w:rsidR="009772CA" w:rsidRPr="009772CA" w:rsidRDefault="009772CA" w:rsidP="009772CA">
      <w:pPr>
        <w:keepNext/>
        <w:spacing w:after="0" w:line="240" w:lineRule="auto"/>
        <w:contextualSpacing/>
        <w:jc w:val="center"/>
        <w:outlineLvl w:val="0"/>
        <w:rPr>
          <w:rFonts w:ascii="Arial Narrow" w:eastAsiaTheme="minorEastAsia" w:hAnsi="Arial Narrow"/>
          <w:b/>
          <w:sz w:val="24"/>
          <w:szCs w:val="24"/>
          <w:lang w:val="es-CR" w:eastAsia="es-ES"/>
        </w:rPr>
      </w:pPr>
      <w:r w:rsidRPr="009772CA">
        <w:rPr>
          <w:rFonts w:ascii="Arial Narrow" w:eastAsiaTheme="minorEastAsia" w:hAnsi="Arial Narrow"/>
          <w:b/>
          <w:sz w:val="24"/>
          <w:szCs w:val="24"/>
          <w:lang w:val="es-CR" w:eastAsia="es-ES"/>
        </w:rPr>
        <w:t xml:space="preserve">Director General </w:t>
      </w:r>
      <w:proofErr w:type="spellStart"/>
      <w:r w:rsidRPr="009772CA">
        <w:rPr>
          <w:rFonts w:ascii="Arial Narrow" w:eastAsiaTheme="minorEastAsia" w:hAnsi="Arial Narrow"/>
          <w:b/>
          <w:sz w:val="24"/>
          <w:szCs w:val="24"/>
          <w:lang w:val="es-CR" w:eastAsia="es-ES"/>
        </w:rPr>
        <w:t>a.i.</w:t>
      </w:r>
      <w:proofErr w:type="spellEnd"/>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rPr>
          <w:rFonts w:ascii="Arial Narrow" w:eastAsiaTheme="minorEastAsia" w:hAnsi="Arial Narrow"/>
          <w:sz w:val="20"/>
          <w:szCs w:val="24"/>
          <w:lang w:val="es-CR" w:eastAsia="es-ES"/>
        </w:rPr>
      </w:pPr>
      <w:r w:rsidRPr="009772CA">
        <w:rPr>
          <w:rFonts w:ascii="Arial Narrow" w:eastAsiaTheme="minorEastAsia" w:hAnsi="Arial Narrow"/>
          <w:sz w:val="20"/>
          <w:szCs w:val="24"/>
          <w:lang w:val="es-CR" w:eastAsia="es-ES"/>
        </w:rPr>
        <w:t>VSC/ICA</w:t>
      </w: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proofErr w:type="spellStart"/>
      <w:r w:rsidRPr="009772CA">
        <w:rPr>
          <w:rFonts w:ascii="Arial Narrow" w:eastAsiaTheme="minorEastAsia" w:hAnsi="Arial Narrow"/>
          <w:sz w:val="24"/>
          <w:szCs w:val="24"/>
          <w:lang w:val="es-CR" w:eastAsia="es-ES"/>
        </w:rPr>
        <w:t>cc.</w:t>
      </w:r>
      <w:proofErr w:type="spellEnd"/>
      <w:r w:rsidRPr="009772CA">
        <w:rPr>
          <w:rFonts w:ascii="Arial Narrow" w:eastAsiaTheme="minorEastAsia" w:hAnsi="Arial Narrow"/>
          <w:sz w:val="24"/>
          <w:szCs w:val="24"/>
          <w:lang w:val="es-CR" w:eastAsia="es-ES"/>
        </w:rPr>
        <w:t xml:space="preserve"> </w:t>
      </w:r>
      <w:proofErr w:type="spellStart"/>
      <w:r w:rsidRPr="009772CA">
        <w:rPr>
          <w:rFonts w:ascii="Arial Narrow" w:eastAsiaTheme="minorEastAsia" w:hAnsi="Arial Narrow"/>
          <w:sz w:val="24"/>
          <w:szCs w:val="24"/>
          <w:lang w:val="es-CR" w:eastAsia="es-ES"/>
        </w:rPr>
        <w:t>e</w:t>
      </w:r>
      <w:proofErr w:type="spellEnd"/>
      <w:r w:rsidRPr="009772CA">
        <w:rPr>
          <w:rFonts w:ascii="Arial Narrow" w:eastAsiaTheme="minorEastAsia" w:hAnsi="Arial Narrow"/>
          <w:sz w:val="24"/>
          <w:szCs w:val="24"/>
          <w:lang w:val="es-CR" w:eastAsia="es-ES"/>
        </w:rPr>
        <w:t xml:space="preserve">.-mail: Subdirecciones Técnico Jurídicas de las Direcciones Normativas, </w:t>
      </w: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Gerentes y Subgerentes Tributarios</w:t>
      </w:r>
    </w:p>
    <w:p w:rsidR="009772CA" w:rsidRPr="009772CA" w:rsidRDefault="009772CA" w:rsidP="009772CA">
      <w:pPr>
        <w:spacing w:after="0" w:line="240" w:lineRule="auto"/>
        <w:contextualSpacing/>
        <w:jc w:val="both"/>
        <w:rPr>
          <w:rFonts w:ascii="Arial Narrow" w:eastAsiaTheme="minorEastAsia" w:hAnsi="Arial Narrow"/>
          <w:b/>
          <w:sz w:val="24"/>
          <w:szCs w:val="24"/>
          <w:lang w:val="es-CR" w:eastAsia="es-ES"/>
        </w:rPr>
      </w:pPr>
      <w:r w:rsidRPr="009772CA">
        <w:rPr>
          <w:rFonts w:ascii="Arial Narrow" w:eastAsiaTheme="minorEastAsia" w:hAnsi="Arial Narrow"/>
          <w:sz w:val="24"/>
          <w:szCs w:val="24"/>
          <w:lang w:val="es-CR" w:eastAsia="es-ES"/>
        </w:rPr>
        <w:t xml:space="preserve">Archivo. </w:t>
      </w:r>
      <w:r w:rsidRPr="009772CA">
        <w:rPr>
          <w:rFonts w:ascii="Arial Narrow" w:eastAsiaTheme="minorEastAsia" w:hAnsi="Arial Narrow"/>
          <w:sz w:val="24"/>
          <w:szCs w:val="24"/>
          <w:lang w:val="es-CR" w:eastAsia="es-ES"/>
        </w:rPr>
        <w:br w:type="page"/>
      </w:r>
    </w:p>
    <w:p w:rsidR="009772CA" w:rsidRPr="009772CA" w:rsidRDefault="009772CA" w:rsidP="009772CA">
      <w:pPr>
        <w:spacing w:after="0" w:line="240" w:lineRule="auto"/>
        <w:contextualSpacing/>
        <w:jc w:val="both"/>
        <w:rPr>
          <w:rFonts w:ascii="Arial Narrow" w:eastAsiaTheme="minorEastAsia" w:hAnsi="Arial Narrow"/>
          <w:b/>
          <w:sz w:val="24"/>
          <w:szCs w:val="24"/>
          <w:lang w:val="es-CR" w:eastAsia="es-ES"/>
        </w:rPr>
      </w:pPr>
      <w:r w:rsidRPr="009772CA">
        <w:rPr>
          <w:rFonts w:ascii="Arial Narrow" w:eastAsiaTheme="minorEastAsia" w:hAnsi="Arial Narrow"/>
          <w:b/>
          <w:sz w:val="24"/>
          <w:szCs w:val="24"/>
          <w:lang w:val="es-CR" w:eastAsia="es-ES"/>
        </w:rPr>
        <w:lastRenderedPageBreak/>
        <w:t xml:space="preserve"> I.- OBJETIVO</w:t>
      </w: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 </w:t>
      </w: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ab/>
        <w:t>Esta directriz tiene por objeto instruir a los Directores Regionales, Dirección de Grandes Contribuyentes Nacionales, y  Directores funcionales de Fiscalización, Control Tributario Extensivo, Recaudación, Inteligencia Tributaria, y Valoraciones Administrativas y Tributarias, de cuál será el tratamiento que se le dará a la Propuesta Motivada, en los procedimientos sancionadores correspondientes a las infracciones establecidas en el Código de Normas y Procedimientos Tributarios.</w:t>
      </w: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ab/>
        <w:t>Esta directriz no es aplicable a las infracciones del artículo 81 del Código de Normas y Procedimientos Tributarios, únicamente respecto a los casos de Fiscalización, para los cuales aplicarán las directrices e instrucciones emitidas por la Dirección de Fiscalización.</w:t>
      </w:r>
    </w:p>
    <w:p w:rsidR="009772CA" w:rsidRPr="009772CA" w:rsidRDefault="009772CA" w:rsidP="009772CA">
      <w:pPr>
        <w:spacing w:after="0" w:line="240" w:lineRule="auto"/>
        <w:ind w:firstLine="708"/>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 xml:space="preserve">   </w:t>
      </w:r>
    </w:p>
    <w:p w:rsidR="009772CA" w:rsidRPr="009772CA" w:rsidRDefault="009772CA" w:rsidP="009772CA">
      <w:pPr>
        <w:keepNext/>
        <w:spacing w:after="0" w:line="240" w:lineRule="auto"/>
        <w:contextualSpacing/>
        <w:outlineLvl w:val="0"/>
        <w:rPr>
          <w:rFonts w:ascii="Arial Narrow" w:eastAsiaTheme="minorEastAsia" w:hAnsi="Arial Narrow"/>
          <w:b/>
          <w:sz w:val="24"/>
          <w:szCs w:val="24"/>
          <w:lang w:val="es-CR" w:eastAsia="es-ES"/>
        </w:rPr>
      </w:pPr>
      <w:r w:rsidRPr="009772CA">
        <w:rPr>
          <w:rFonts w:ascii="Arial Narrow" w:eastAsiaTheme="minorEastAsia" w:hAnsi="Arial Narrow"/>
          <w:b/>
          <w:sz w:val="24"/>
          <w:szCs w:val="24"/>
          <w:lang w:val="es-CR" w:eastAsia="es-ES"/>
        </w:rPr>
        <w:t>II.- RESPONSABLES</w:t>
      </w: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 </w:t>
      </w: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ab/>
        <w:t>La ejecución de esta directriz es responsabilidad de los funcionarios mencionados en el párrafo anterior, así como de los demás funcionarios a su cargo participantes en el proceso.</w:t>
      </w: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 xml:space="preserve"> </w:t>
      </w:r>
    </w:p>
    <w:p w:rsidR="009772CA" w:rsidRPr="009772CA" w:rsidRDefault="009772CA" w:rsidP="009772CA">
      <w:pPr>
        <w:keepNext/>
        <w:spacing w:after="0" w:line="240" w:lineRule="auto"/>
        <w:contextualSpacing/>
        <w:outlineLvl w:val="0"/>
        <w:rPr>
          <w:rFonts w:ascii="Arial Narrow" w:eastAsiaTheme="minorEastAsia" w:hAnsi="Arial Narrow"/>
          <w:b/>
          <w:sz w:val="24"/>
          <w:szCs w:val="24"/>
          <w:lang w:val="es-CR" w:eastAsia="es-ES"/>
        </w:rPr>
      </w:pPr>
      <w:r w:rsidRPr="009772CA">
        <w:rPr>
          <w:rFonts w:ascii="Arial Narrow" w:eastAsiaTheme="minorEastAsia" w:hAnsi="Arial Narrow"/>
          <w:b/>
          <w:sz w:val="24"/>
          <w:szCs w:val="24"/>
          <w:lang w:val="es-CR" w:eastAsia="es-ES"/>
        </w:rPr>
        <w:t>III.- FUNDAMENTO LEGAL</w:t>
      </w: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 </w:t>
      </w:r>
    </w:p>
    <w:p w:rsidR="009772CA" w:rsidRPr="009772CA" w:rsidRDefault="009772CA" w:rsidP="009772CA">
      <w:pPr>
        <w:spacing w:after="0" w:line="240" w:lineRule="auto"/>
        <w:ind w:firstLine="708"/>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Código de Normas y Procedimientos Tributarios, Ley N° 4755, de 3 de mayo de 1971, artículos 147, 171 inciso 12, 179 y 186.</w:t>
      </w:r>
    </w:p>
    <w:p w:rsidR="009772CA" w:rsidRPr="009772CA" w:rsidRDefault="009772CA" w:rsidP="009772CA">
      <w:pPr>
        <w:spacing w:after="0" w:line="240" w:lineRule="auto"/>
        <w:ind w:firstLine="708"/>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Ley General de la Administración Pública, Ley N° 6227, del 2 de mayo de 1978, artículo 264 inciso 1.</w:t>
      </w: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 </w:t>
      </w:r>
    </w:p>
    <w:p w:rsidR="009772CA" w:rsidRPr="009772CA" w:rsidRDefault="009772CA" w:rsidP="009772CA">
      <w:pPr>
        <w:keepNext/>
        <w:spacing w:after="0" w:line="240" w:lineRule="auto"/>
        <w:contextualSpacing/>
        <w:outlineLvl w:val="0"/>
        <w:rPr>
          <w:rFonts w:ascii="Arial Narrow" w:eastAsiaTheme="minorEastAsia" w:hAnsi="Arial Narrow"/>
          <w:sz w:val="24"/>
          <w:szCs w:val="24"/>
          <w:lang w:val="es-CR" w:eastAsia="es-ES"/>
        </w:rPr>
      </w:pPr>
      <w:r w:rsidRPr="009772CA">
        <w:rPr>
          <w:rFonts w:ascii="Arial Narrow" w:eastAsiaTheme="minorEastAsia" w:hAnsi="Arial Narrow"/>
          <w:b/>
          <w:sz w:val="24"/>
          <w:szCs w:val="24"/>
          <w:lang w:val="es-CR" w:eastAsia="es-ES"/>
        </w:rPr>
        <w:t>IV.- JUSTIFICACIÓN</w:t>
      </w:r>
    </w:p>
    <w:p w:rsidR="009772CA" w:rsidRPr="009772CA" w:rsidRDefault="009772CA" w:rsidP="009772CA">
      <w:pPr>
        <w:spacing w:after="0" w:line="240" w:lineRule="auto"/>
        <w:contextualSpacing/>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ab/>
        <w:t xml:space="preserve">Producto de la reforma introducida al Código de Normas y Procedimientos Tributarios (en adelante Código Tributario) por la Ley Nº 9069 del 28 de setiembre del 2012, se modificó la redacción del artículo 150, eliminándose la obligatoriedad de emitir y notificar el Traslado de Cargos, documento mediante el cual </w:t>
      </w:r>
      <w:r w:rsidRPr="009772CA">
        <w:rPr>
          <w:rFonts w:ascii="Arial Narrow" w:eastAsiaTheme="minorEastAsia" w:hAnsi="Arial Narrow"/>
          <w:sz w:val="24"/>
          <w:szCs w:val="24"/>
          <w:lang w:eastAsia="es-ES"/>
        </w:rPr>
        <w:t>se ponían en conocimiento del eventual infractor los cargos que se le imputan y se le concedía un plazo de diez días hábiles para manifestarse al respecto y aportar la prueba correspondiente.</w:t>
      </w:r>
      <w:r w:rsidRPr="009772CA">
        <w:rPr>
          <w:rFonts w:ascii="Arial Narrow" w:eastAsiaTheme="minorEastAsia" w:hAnsi="Arial Narrow"/>
          <w:sz w:val="24"/>
          <w:szCs w:val="24"/>
          <w:lang w:val="es-CR" w:eastAsia="es-ES"/>
        </w:rPr>
        <w:t xml:space="preserve">  El fin de esta reforma era prescindir de una notificación previa a la de la resolución que impone la sanción, otorgando el derecho a ejercer una defensa posterior a la notificación de la misma y condicionando su ejecución a su  firmeza.</w:t>
      </w: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jc w:val="both"/>
        <w:rPr>
          <w:rFonts w:ascii="Arial Narrow" w:eastAsiaTheme="minorEastAsia" w:hAnsi="Arial Narrow"/>
          <w:bCs/>
          <w:sz w:val="24"/>
          <w:szCs w:val="24"/>
          <w:lang w:eastAsia="es-ES"/>
        </w:rPr>
      </w:pPr>
      <w:r w:rsidRPr="009772CA">
        <w:rPr>
          <w:rFonts w:ascii="Arial Narrow" w:eastAsiaTheme="minorEastAsia" w:hAnsi="Arial Narrow"/>
          <w:sz w:val="24"/>
          <w:szCs w:val="24"/>
          <w:lang w:val="es-CR" w:eastAsia="es-ES"/>
        </w:rPr>
        <w:tab/>
        <w:t xml:space="preserve">No obstante lo anterior, la Ley Nº 9069 incluyó además, de forma desarticulada con el fin arriba indicado, el </w:t>
      </w:r>
      <w:r w:rsidRPr="009772CA">
        <w:rPr>
          <w:rFonts w:ascii="Arial Narrow" w:eastAsiaTheme="minorEastAsia" w:hAnsi="Arial Narrow"/>
          <w:bCs/>
          <w:sz w:val="24"/>
          <w:szCs w:val="24"/>
          <w:lang w:eastAsia="es-ES"/>
        </w:rPr>
        <w:t xml:space="preserve">Título VI al </w:t>
      </w:r>
      <w:r w:rsidRPr="009772CA">
        <w:rPr>
          <w:rFonts w:ascii="Arial Narrow" w:eastAsiaTheme="minorEastAsia" w:hAnsi="Arial Narrow"/>
          <w:sz w:val="24"/>
          <w:szCs w:val="24"/>
          <w:lang w:val="es-CR" w:eastAsia="es-ES"/>
        </w:rPr>
        <w:t xml:space="preserve">Código Tributario, denominado </w:t>
      </w:r>
      <w:r w:rsidRPr="009772CA">
        <w:rPr>
          <w:rFonts w:ascii="Arial Narrow" w:eastAsiaTheme="minorEastAsia" w:hAnsi="Arial Narrow"/>
          <w:bCs/>
          <w:sz w:val="24"/>
          <w:szCs w:val="24"/>
          <w:lang w:eastAsia="es-ES"/>
        </w:rPr>
        <w:t>Derechos y Garantías del Contribuyente, el cual, en los artículos 171 inciso 12 y 186, dispone, en lo que interesa:</w:t>
      </w:r>
    </w:p>
    <w:p w:rsidR="009772CA" w:rsidRPr="009772CA" w:rsidRDefault="009772CA" w:rsidP="009772CA">
      <w:pPr>
        <w:spacing w:after="0" w:line="240" w:lineRule="auto"/>
        <w:contextualSpacing/>
        <w:jc w:val="both"/>
        <w:rPr>
          <w:rFonts w:ascii="Arial Narrow" w:eastAsiaTheme="minorEastAsia" w:hAnsi="Arial Narrow"/>
          <w:bCs/>
          <w:sz w:val="24"/>
          <w:szCs w:val="24"/>
          <w:lang w:eastAsia="es-ES"/>
        </w:rPr>
      </w:pPr>
    </w:p>
    <w:p w:rsidR="009772CA" w:rsidRPr="009772CA" w:rsidRDefault="009772CA" w:rsidP="009772CA">
      <w:pPr>
        <w:spacing w:after="0" w:line="240" w:lineRule="auto"/>
        <w:contextualSpacing/>
        <w:jc w:val="both"/>
        <w:rPr>
          <w:rFonts w:ascii="Arial Narrow" w:eastAsiaTheme="minorEastAsia" w:hAnsi="Arial Narrow"/>
          <w:bCs/>
          <w:sz w:val="24"/>
          <w:szCs w:val="24"/>
          <w:lang w:eastAsia="es-ES"/>
        </w:rPr>
      </w:pPr>
    </w:p>
    <w:p w:rsidR="009772CA" w:rsidRPr="009772CA" w:rsidRDefault="009772CA" w:rsidP="009772CA">
      <w:pPr>
        <w:spacing w:after="0" w:line="240" w:lineRule="auto"/>
        <w:ind w:left="1134"/>
        <w:contextualSpacing/>
        <w:jc w:val="both"/>
        <w:rPr>
          <w:rFonts w:ascii="Arial Narrow" w:eastAsiaTheme="minorEastAsia" w:hAnsi="Arial Narrow"/>
          <w:bCs/>
          <w:i/>
          <w:sz w:val="24"/>
          <w:szCs w:val="24"/>
          <w:lang w:eastAsia="es-ES"/>
        </w:rPr>
      </w:pPr>
      <w:r w:rsidRPr="009772CA">
        <w:rPr>
          <w:rFonts w:ascii="Arial Narrow" w:eastAsiaTheme="minorEastAsia" w:hAnsi="Arial Narrow"/>
          <w:b/>
          <w:bCs/>
          <w:i/>
          <w:sz w:val="24"/>
          <w:szCs w:val="24"/>
          <w:lang w:eastAsia="es-ES"/>
        </w:rPr>
        <w:t>“Artículo 171.- Derechos generales de los contribuyentes </w:t>
      </w:r>
    </w:p>
    <w:p w:rsidR="009772CA" w:rsidRPr="009772CA" w:rsidRDefault="009772CA" w:rsidP="009772CA">
      <w:pPr>
        <w:spacing w:after="0" w:line="240" w:lineRule="auto"/>
        <w:ind w:left="1134"/>
        <w:contextualSpacing/>
        <w:jc w:val="both"/>
        <w:rPr>
          <w:rFonts w:ascii="Arial Narrow" w:eastAsiaTheme="minorEastAsia" w:hAnsi="Arial Narrow"/>
          <w:bCs/>
          <w:i/>
          <w:sz w:val="24"/>
          <w:szCs w:val="24"/>
          <w:lang w:eastAsia="es-ES"/>
        </w:rPr>
      </w:pPr>
      <w:r w:rsidRPr="009772CA">
        <w:rPr>
          <w:rFonts w:ascii="Arial Narrow" w:eastAsiaTheme="minorEastAsia" w:hAnsi="Arial Narrow"/>
          <w:bCs/>
          <w:i/>
          <w:sz w:val="24"/>
          <w:szCs w:val="24"/>
          <w:lang w:eastAsia="es-ES"/>
        </w:rPr>
        <w:t>Constituyen derechos generales de los sujetos pasivos los siguientes: </w:t>
      </w:r>
    </w:p>
    <w:p w:rsidR="009772CA" w:rsidRPr="009772CA" w:rsidRDefault="009772CA" w:rsidP="009772CA">
      <w:pPr>
        <w:spacing w:after="0" w:line="240" w:lineRule="auto"/>
        <w:ind w:left="1134"/>
        <w:contextualSpacing/>
        <w:jc w:val="both"/>
        <w:rPr>
          <w:rFonts w:ascii="Arial Narrow" w:eastAsiaTheme="minorEastAsia" w:hAnsi="Arial Narrow"/>
          <w:bCs/>
          <w:i/>
          <w:sz w:val="24"/>
          <w:szCs w:val="24"/>
          <w:lang w:eastAsia="es-ES"/>
        </w:rPr>
      </w:pPr>
      <w:r w:rsidRPr="009772CA">
        <w:rPr>
          <w:rFonts w:ascii="Arial Narrow" w:eastAsiaTheme="minorEastAsia" w:hAnsi="Arial Narrow"/>
          <w:bCs/>
          <w:i/>
          <w:sz w:val="24"/>
          <w:szCs w:val="24"/>
          <w:lang w:eastAsia="es-ES"/>
        </w:rPr>
        <w:t>(…)</w:t>
      </w:r>
    </w:p>
    <w:p w:rsidR="009772CA" w:rsidRPr="009772CA" w:rsidRDefault="009772CA" w:rsidP="009772CA">
      <w:pPr>
        <w:spacing w:after="0" w:line="240" w:lineRule="auto"/>
        <w:ind w:left="1134"/>
        <w:contextualSpacing/>
        <w:jc w:val="both"/>
        <w:rPr>
          <w:rFonts w:ascii="Arial Narrow" w:eastAsiaTheme="minorEastAsia" w:hAnsi="Arial Narrow"/>
          <w:bCs/>
          <w:i/>
          <w:sz w:val="24"/>
          <w:szCs w:val="24"/>
          <w:lang w:eastAsia="es-ES"/>
        </w:rPr>
      </w:pPr>
      <w:r w:rsidRPr="009772CA">
        <w:rPr>
          <w:rFonts w:ascii="Arial Narrow" w:eastAsiaTheme="minorEastAsia" w:hAnsi="Arial Narrow"/>
          <w:b/>
          <w:bCs/>
          <w:i/>
          <w:sz w:val="24"/>
          <w:szCs w:val="24"/>
          <w:lang w:eastAsia="es-ES"/>
        </w:rPr>
        <w:t xml:space="preserve">12)  </w:t>
      </w:r>
      <w:r w:rsidRPr="009772CA">
        <w:rPr>
          <w:rFonts w:ascii="Arial Narrow" w:eastAsiaTheme="minorEastAsia" w:hAnsi="Arial Narrow"/>
          <w:bCs/>
          <w:i/>
          <w:sz w:val="24"/>
          <w:szCs w:val="24"/>
          <w:lang w:eastAsia="es-ES"/>
        </w:rPr>
        <w:t xml:space="preserve">Derecho a ser oído en el trámite de audiencia </w:t>
      </w:r>
      <w:r w:rsidRPr="009772CA">
        <w:rPr>
          <w:rFonts w:ascii="Arial Narrow" w:eastAsiaTheme="minorEastAsia" w:hAnsi="Arial Narrow"/>
          <w:bCs/>
          <w:i/>
          <w:sz w:val="24"/>
          <w:szCs w:val="24"/>
          <w:u w:val="single"/>
          <w:lang w:eastAsia="es-ES"/>
        </w:rPr>
        <w:t>con carácter previo al dictado de la resolución</w:t>
      </w:r>
      <w:r w:rsidRPr="009772CA">
        <w:rPr>
          <w:rFonts w:ascii="Arial Narrow" w:eastAsiaTheme="minorEastAsia" w:hAnsi="Arial Narrow"/>
          <w:bCs/>
          <w:i/>
          <w:sz w:val="24"/>
          <w:szCs w:val="24"/>
          <w:lang w:eastAsia="es-ES"/>
        </w:rPr>
        <w:t xml:space="preserve"> o acto que tendrá efectos jurídicos para los sujetos pasivos, de conformidad con la ley. “</w:t>
      </w:r>
    </w:p>
    <w:p w:rsidR="009772CA" w:rsidRPr="009772CA" w:rsidRDefault="009772CA" w:rsidP="009772CA">
      <w:pPr>
        <w:spacing w:after="0" w:line="240" w:lineRule="auto"/>
        <w:ind w:left="1134"/>
        <w:contextualSpacing/>
        <w:jc w:val="both"/>
        <w:rPr>
          <w:rFonts w:ascii="Arial Narrow" w:eastAsiaTheme="minorEastAsia" w:hAnsi="Arial Narrow"/>
          <w:bCs/>
          <w:sz w:val="24"/>
          <w:szCs w:val="24"/>
          <w:lang w:eastAsia="es-ES"/>
        </w:rPr>
      </w:pPr>
      <w:r w:rsidRPr="009772CA">
        <w:rPr>
          <w:rFonts w:ascii="Arial Narrow" w:eastAsiaTheme="minorEastAsia" w:hAnsi="Arial Narrow"/>
          <w:bCs/>
          <w:sz w:val="24"/>
          <w:szCs w:val="24"/>
          <w:lang w:eastAsia="es-ES"/>
        </w:rPr>
        <w:t xml:space="preserve"> </w:t>
      </w:r>
    </w:p>
    <w:p w:rsidR="009772CA" w:rsidRPr="009772CA" w:rsidRDefault="009772CA" w:rsidP="009772CA">
      <w:pPr>
        <w:spacing w:after="0" w:line="240" w:lineRule="auto"/>
        <w:ind w:left="1134"/>
        <w:contextualSpacing/>
        <w:jc w:val="both"/>
        <w:rPr>
          <w:rFonts w:ascii="Arial Narrow" w:eastAsiaTheme="minorEastAsia" w:hAnsi="Arial Narrow"/>
          <w:bCs/>
          <w:i/>
          <w:sz w:val="24"/>
          <w:szCs w:val="24"/>
          <w:lang w:eastAsia="es-ES"/>
        </w:rPr>
      </w:pPr>
      <w:r w:rsidRPr="009772CA">
        <w:rPr>
          <w:rFonts w:ascii="Arial Narrow" w:eastAsiaTheme="minorEastAsia" w:hAnsi="Arial Narrow"/>
          <w:b/>
          <w:bCs/>
          <w:i/>
          <w:sz w:val="24"/>
          <w:szCs w:val="24"/>
          <w:lang w:eastAsia="es-ES"/>
        </w:rPr>
        <w:t>“Artículo 186.- Principios de lealtad en el debate y la seguridad jurídica </w:t>
      </w:r>
    </w:p>
    <w:p w:rsidR="009772CA" w:rsidRPr="009772CA" w:rsidRDefault="009772CA" w:rsidP="009772CA">
      <w:pPr>
        <w:spacing w:after="0" w:line="240" w:lineRule="auto"/>
        <w:ind w:left="1134"/>
        <w:contextualSpacing/>
        <w:jc w:val="both"/>
        <w:rPr>
          <w:rFonts w:ascii="Arial Narrow" w:eastAsiaTheme="minorEastAsia" w:hAnsi="Arial Narrow"/>
          <w:bCs/>
          <w:i/>
          <w:sz w:val="24"/>
          <w:szCs w:val="24"/>
          <w:lang w:eastAsia="es-ES"/>
        </w:rPr>
      </w:pPr>
      <w:r w:rsidRPr="009772CA">
        <w:rPr>
          <w:rFonts w:ascii="Arial Narrow" w:eastAsiaTheme="minorEastAsia" w:hAnsi="Arial Narrow"/>
          <w:bCs/>
          <w:i/>
          <w:sz w:val="24"/>
          <w:szCs w:val="24"/>
          <w:lang w:eastAsia="es-ES"/>
        </w:rPr>
        <w:t>(…)</w:t>
      </w:r>
    </w:p>
    <w:p w:rsidR="009772CA" w:rsidRPr="009772CA" w:rsidRDefault="009772CA" w:rsidP="009772CA">
      <w:pPr>
        <w:spacing w:after="0" w:line="240" w:lineRule="auto"/>
        <w:ind w:left="1134"/>
        <w:contextualSpacing/>
        <w:jc w:val="both"/>
        <w:rPr>
          <w:rFonts w:ascii="Arial Narrow" w:eastAsiaTheme="minorEastAsia" w:hAnsi="Arial Narrow"/>
          <w:bCs/>
          <w:i/>
          <w:sz w:val="24"/>
          <w:szCs w:val="24"/>
          <w:lang w:eastAsia="es-ES"/>
        </w:rPr>
      </w:pPr>
      <w:r w:rsidRPr="009772CA">
        <w:rPr>
          <w:rFonts w:ascii="Arial Narrow" w:eastAsiaTheme="minorEastAsia" w:hAnsi="Arial Narrow"/>
          <w:bCs/>
          <w:i/>
          <w:sz w:val="24"/>
          <w:szCs w:val="24"/>
          <w:lang w:eastAsia="es-ES"/>
        </w:rPr>
        <w:lastRenderedPageBreak/>
        <w:t xml:space="preserve">Como garantía de los principios de lealtad en el debate y la seguridad jurídica, </w:t>
      </w:r>
      <w:r w:rsidRPr="009772CA">
        <w:rPr>
          <w:rFonts w:ascii="Arial Narrow" w:eastAsiaTheme="minorEastAsia" w:hAnsi="Arial Narrow"/>
          <w:bCs/>
          <w:i/>
          <w:sz w:val="24"/>
          <w:szCs w:val="24"/>
          <w:u w:val="single"/>
          <w:lang w:eastAsia="es-ES"/>
        </w:rPr>
        <w:t>las resoluciones que se dicten en el procedimiento</w:t>
      </w:r>
      <w:r w:rsidRPr="009772CA">
        <w:rPr>
          <w:rFonts w:ascii="Arial Narrow" w:eastAsiaTheme="minorEastAsia" w:hAnsi="Arial Narrow"/>
          <w:bCs/>
          <w:i/>
          <w:sz w:val="24"/>
          <w:szCs w:val="24"/>
          <w:lang w:eastAsia="es-ES"/>
        </w:rPr>
        <w:t xml:space="preserve"> de determinación de la obligación tributaria o en el sancionatorio n</w:t>
      </w:r>
      <w:r w:rsidRPr="009772CA">
        <w:rPr>
          <w:rFonts w:ascii="Arial Narrow" w:eastAsiaTheme="minorEastAsia" w:hAnsi="Arial Narrow"/>
          <w:bCs/>
          <w:i/>
          <w:sz w:val="24"/>
          <w:szCs w:val="24"/>
          <w:u w:val="single"/>
          <w:lang w:eastAsia="es-ES"/>
        </w:rPr>
        <w:t>o podrán invocar hechos o elementos probatorios no debatidos y sobre los cuales el contribuyente no ha podido ejercer su defensa</w:t>
      </w:r>
      <w:r w:rsidRPr="009772CA">
        <w:rPr>
          <w:rFonts w:ascii="Arial Narrow" w:eastAsiaTheme="minorEastAsia" w:hAnsi="Arial Narrow"/>
          <w:bCs/>
          <w:i/>
          <w:sz w:val="24"/>
          <w:szCs w:val="24"/>
          <w:lang w:eastAsia="es-ES"/>
        </w:rPr>
        <w:t>. Lo anterior, sin perjuicio de que proceda una recalificación de los hechos en materia sancionatoria, siempre que los hechos que dieron sustento al procedimiento sean los mismos. </w:t>
      </w:r>
    </w:p>
    <w:p w:rsidR="009772CA" w:rsidRPr="009772CA" w:rsidRDefault="009772CA" w:rsidP="009772CA">
      <w:pPr>
        <w:spacing w:after="0" w:line="240" w:lineRule="auto"/>
        <w:ind w:left="1134"/>
        <w:contextualSpacing/>
        <w:jc w:val="both"/>
        <w:rPr>
          <w:rFonts w:ascii="Arial Narrow" w:eastAsiaTheme="minorEastAsia" w:hAnsi="Arial Narrow"/>
          <w:bCs/>
          <w:sz w:val="24"/>
          <w:szCs w:val="24"/>
          <w:lang w:eastAsia="es-ES"/>
        </w:rPr>
      </w:pPr>
      <w:r w:rsidRPr="009772CA">
        <w:rPr>
          <w:rFonts w:ascii="Arial Narrow" w:eastAsiaTheme="minorEastAsia" w:hAnsi="Arial Narrow"/>
          <w:bCs/>
          <w:i/>
          <w:sz w:val="24"/>
          <w:szCs w:val="24"/>
          <w:lang w:eastAsia="es-ES"/>
        </w:rPr>
        <w:t xml:space="preserve">(…)”. </w:t>
      </w:r>
      <w:r w:rsidRPr="009772CA">
        <w:rPr>
          <w:rFonts w:ascii="Arial Narrow" w:eastAsiaTheme="minorEastAsia" w:hAnsi="Arial Narrow"/>
          <w:bCs/>
          <w:sz w:val="24"/>
          <w:szCs w:val="24"/>
          <w:lang w:eastAsia="es-ES"/>
        </w:rPr>
        <w:t>El subrayado no es del original.</w:t>
      </w:r>
    </w:p>
    <w:p w:rsidR="009772CA" w:rsidRPr="009772CA" w:rsidRDefault="009772CA" w:rsidP="009772CA">
      <w:pPr>
        <w:spacing w:after="0" w:line="240" w:lineRule="auto"/>
        <w:contextualSpacing/>
        <w:jc w:val="both"/>
        <w:rPr>
          <w:rFonts w:ascii="Arial Narrow" w:eastAsiaTheme="minorEastAsia" w:hAnsi="Arial Narrow"/>
          <w:bCs/>
          <w:sz w:val="24"/>
          <w:szCs w:val="24"/>
          <w:lang w:eastAsia="es-ES"/>
        </w:rPr>
      </w:pPr>
    </w:p>
    <w:p w:rsidR="009772CA" w:rsidRPr="009772CA" w:rsidRDefault="009772CA" w:rsidP="009772CA">
      <w:pPr>
        <w:spacing w:after="0" w:line="240" w:lineRule="auto"/>
        <w:contextualSpacing/>
        <w:jc w:val="both"/>
        <w:rPr>
          <w:rFonts w:ascii="Arial Narrow" w:eastAsiaTheme="minorEastAsia" w:hAnsi="Arial Narrow"/>
          <w:bCs/>
          <w:sz w:val="24"/>
          <w:szCs w:val="24"/>
          <w:lang w:eastAsia="es-ES"/>
        </w:rPr>
      </w:pPr>
      <w:r w:rsidRPr="009772CA">
        <w:rPr>
          <w:rFonts w:ascii="Arial Narrow" w:eastAsiaTheme="minorEastAsia" w:hAnsi="Arial Narrow"/>
          <w:bCs/>
          <w:sz w:val="24"/>
          <w:szCs w:val="24"/>
          <w:lang w:eastAsia="es-ES"/>
        </w:rPr>
        <w:tab/>
        <w:t>Como puede observarse, la eliminación del Traslado de Cargos no es armónica con la inclusión del Capítulo de Derechos y Garantías del Contribuyente, por lo que el tema se estudió con las Direcciones funcionales y se concluyó que no puede obviarse la previa notificación al interesado para que ejerza la defensa sobre los hechos que fundamentan la resolución sancionatorio, decidiéndose que se notifique  la Propuesta Motivada, en aras de salvaguardar el debido proceso y el derecho de defensa de los obligados tributarios.</w:t>
      </w:r>
    </w:p>
    <w:p w:rsidR="009772CA" w:rsidRPr="009772CA" w:rsidRDefault="009772CA" w:rsidP="009772CA">
      <w:pPr>
        <w:spacing w:after="0" w:line="240" w:lineRule="auto"/>
        <w:contextualSpacing/>
        <w:jc w:val="both"/>
        <w:rPr>
          <w:rFonts w:ascii="Arial Narrow" w:eastAsiaTheme="minorEastAsia" w:hAnsi="Arial Narrow"/>
          <w:bCs/>
          <w:sz w:val="24"/>
          <w:szCs w:val="24"/>
          <w:lang w:eastAsia="es-ES"/>
        </w:rPr>
      </w:pPr>
    </w:p>
    <w:p w:rsidR="009772CA" w:rsidRPr="009772CA" w:rsidRDefault="009772CA" w:rsidP="009772CA">
      <w:pPr>
        <w:spacing w:after="0" w:line="240" w:lineRule="auto"/>
        <w:ind w:firstLine="708"/>
        <w:contextualSpacing/>
        <w:jc w:val="both"/>
        <w:rPr>
          <w:rFonts w:ascii="Arial Narrow" w:eastAsiaTheme="minorEastAsia" w:hAnsi="Arial Narrow"/>
          <w:sz w:val="24"/>
          <w:szCs w:val="24"/>
          <w:lang w:eastAsia="es-ES"/>
        </w:rPr>
      </w:pPr>
      <w:r w:rsidRPr="009772CA">
        <w:rPr>
          <w:rFonts w:ascii="Arial Narrow" w:eastAsiaTheme="minorEastAsia" w:hAnsi="Arial Narrow"/>
          <w:sz w:val="24"/>
          <w:szCs w:val="24"/>
          <w:lang w:val="es-CR" w:eastAsia="es-ES"/>
        </w:rPr>
        <w:t>En este sentido, es necesario definir en esta Directriz un procedimiento interno donde se instruya el tratamiento que se le dará a la Propuesta Motivada, así como el plazo con el que contará el eventual infractor para hacer valer su derecho de defensa.</w:t>
      </w: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p>
    <w:p w:rsidR="009772CA" w:rsidRPr="009772CA" w:rsidRDefault="009772CA" w:rsidP="009772CA">
      <w:pPr>
        <w:keepNext/>
        <w:spacing w:after="0" w:line="240" w:lineRule="auto"/>
        <w:contextualSpacing/>
        <w:outlineLvl w:val="0"/>
        <w:rPr>
          <w:rFonts w:ascii="Arial Narrow" w:eastAsiaTheme="minorEastAsia" w:hAnsi="Arial Narrow"/>
          <w:sz w:val="24"/>
          <w:szCs w:val="24"/>
          <w:lang w:val="es-CR" w:eastAsia="es-ES"/>
        </w:rPr>
      </w:pPr>
      <w:r w:rsidRPr="009772CA">
        <w:rPr>
          <w:rFonts w:ascii="Arial Narrow" w:eastAsiaTheme="minorEastAsia" w:hAnsi="Arial Narrow"/>
          <w:b/>
          <w:sz w:val="24"/>
          <w:szCs w:val="24"/>
          <w:lang w:val="es-CR" w:eastAsia="es-ES"/>
        </w:rPr>
        <w:t>V.- INSTRUCCIÓN</w:t>
      </w:r>
    </w:p>
    <w:p w:rsidR="009772CA" w:rsidRPr="009772CA" w:rsidRDefault="009772CA" w:rsidP="009772CA">
      <w:pPr>
        <w:spacing w:after="0" w:line="240" w:lineRule="auto"/>
        <w:contextualSpacing/>
        <w:jc w:val="center"/>
        <w:rPr>
          <w:rFonts w:ascii="Arial Narrow" w:eastAsiaTheme="minorEastAsia" w:hAnsi="Arial Narrow"/>
          <w:sz w:val="24"/>
          <w:szCs w:val="24"/>
          <w:lang w:val="es-CR" w:eastAsia="es-ES"/>
        </w:rPr>
      </w:pPr>
    </w:p>
    <w:p w:rsidR="009772CA" w:rsidRPr="009772CA" w:rsidRDefault="009772CA" w:rsidP="009772CA">
      <w:pPr>
        <w:spacing w:after="0" w:line="240" w:lineRule="auto"/>
        <w:ind w:firstLine="567"/>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 xml:space="preserve">Conforme los artículos 171 inciso 12, y 186 del Código Tributario, el contribuyente tiene derecho a ejercer su derecho de defensa, respecto a los cargos que se le imputan en el Procedimiento Sancionador. </w:t>
      </w: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p>
    <w:p w:rsidR="009772CA" w:rsidRPr="009772CA" w:rsidRDefault="009772CA" w:rsidP="009772CA">
      <w:pPr>
        <w:spacing w:after="0" w:line="240" w:lineRule="auto"/>
        <w:ind w:firstLine="567"/>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 xml:space="preserve">De acuerdo con los artículos 179 del Código Tributario y 264 inciso 1 de la Ley General de la Administración Pública, cuando no exista un plazo establecido en </w:t>
      </w:r>
      <w:r w:rsidRPr="009772CA">
        <w:rPr>
          <w:rFonts w:ascii="Arial Narrow" w:eastAsiaTheme="minorEastAsia" w:hAnsi="Arial Narrow"/>
          <w:sz w:val="24"/>
          <w:szCs w:val="24"/>
          <w:lang w:eastAsia="es-ES"/>
        </w:rPr>
        <w:t>las normas legales o reglamentarias para que los interesados cumplan con algún trámite, se entenderá que los mismos deben ser cumplidos en el plazo de diez días hábiles.</w:t>
      </w:r>
    </w:p>
    <w:p w:rsidR="009772CA" w:rsidRPr="009772CA" w:rsidRDefault="009772CA" w:rsidP="009772CA">
      <w:pPr>
        <w:spacing w:after="0" w:line="240" w:lineRule="auto"/>
        <w:contextualSpacing/>
        <w:jc w:val="both"/>
        <w:rPr>
          <w:rFonts w:ascii="Arial Narrow" w:eastAsiaTheme="minorEastAsia" w:hAnsi="Arial Narrow"/>
          <w:sz w:val="24"/>
          <w:szCs w:val="24"/>
          <w:lang w:val="es-CR" w:eastAsia="es-ES"/>
        </w:rPr>
      </w:pPr>
    </w:p>
    <w:p w:rsidR="009772CA" w:rsidRPr="009772CA" w:rsidRDefault="009772CA" w:rsidP="009772CA">
      <w:pPr>
        <w:spacing w:after="0" w:line="240" w:lineRule="auto"/>
        <w:ind w:firstLine="567"/>
        <w:contextualSpacing/>
        <w:jc w:val="both"/>
        <w:rPr>
          <w:rFonts w:ascii="Arial Narrow" w:eastAsiaTheme="minorEastAsia" w:hAnsi="Arial Narrow"/>
          <w:sz w:val="24"/>
          <w:szCs w:val="24"/>
          <w:lang w:val="es-CR" w:eastAsia="es-ES"/>
        </w:rPr>
      </w:pPr>
      <w:r w:rsidRPr="009772CA">
        <w:rPr>
          <w:rFonts w:ascii="Arial Narrow" w:eastAsiaTheme="minorEastAsia" w:hAnsi="Arial Narrow"/>
          <w:sz w:val="24"/>
          <w:szCs w:val="24"/>
          <w:lang w:val="es-CR" w:eastAsia="es-ES"/>
        </w:rPr>
        <w:t>Ante esta situación es necesario regular el procedimiento interno para la notificación de la Propuesta Motivada y la concesión de plazo para presentar alegatos y pruebas, el cual aplica a todos los procedimientos en trámite donde no se haya notificado la resolución sancionatoria y los que se inicien a futuro.</w:t>
      </w:r>
    </w:p>
    <w:p w:rsidR="009772CA" w:rsidRPr="009772CA" w:rsidRDefault="009772CA" w:rsidP="009772CA">
      <w:pPr>
        <w:spacing w:after="0" w:line="240" w:lineRule="auto"/>
        <w:ind w:firstLine="567"/>
        <w:contextualSpacing/>
        <w:jc w:val="both"/>
        <w:rPr>
          <w:rFonts w:ascii="Arial Narrow" w:eastAsiaTheme="minorEastAsia" w:hAnsi="Arial Narrow"/>
          <w:sz w:val="24"/>
          <w:szCs w:val="24"/>
          <w:lang w:val="es-CR" w:eastAsia="es-ES"/>
        </w:rPr>
      </w:pPr>
    </w:p>
    <w:p w:rsidR="009772CA" w:rsidRPr="009772CA" w:rsidRDefault="009772CA" w:rsidP="009772CA">
      <w:pPr>
        <w:spacing w:after="0" w:line="240" w:lineRule="auto"/>
        <w:ind w:firstLine="708"/>
        <w:contextualSpacing/>
        <w:jc w:val="both"/>
        <w:rPr>
          <w:rFonts w:ascii="Arial Narrow" w:eastAsiaTheme="minorEastAsia" w:hAnsi="Arial Narrow"/>
          <w:sz w:val="24"/>
          <w:szCs w:val="24"/>
          <w:lang w:val="es-CR" w:eastAsia="es-ES"/>
        </w:rPr>
      </w:pPr>
    </w:p>
    <w:p w:rsidR="009772CA" w:rsidRPr="009772CA" w:rsidRDefault="009772CA" w:rsidP="009772CA">
      <w:pPr>
        <w:widowControl w:val="0"/>
        <w:spacing w:after="0" w:line="240" w:lineRule="auto"/>
        <w:jc w:val="both"/>
        <w:rPr>
          <w:rFonts w:ascii="Arial Narrow" w:eastAsia="MS Mincho" w:hAnsi="Arial Narrow" w:cs="Times New Roman"/>
          <w:b/>
          <w:sz w:val="24"/>
          <w:szCs w:val="24"/>
          <w:lang w:val="es-CR" w:eastAsia="es-ES"/>
        </w:rPr>
      </w:pPr>
    </w:p>
    <w:p w:rsidR="009772CA" w:rsidRPr="009772CA" w:rsidRDefault="009772CA" w:rsidP="009772CA">
      <w:pPr>
        <w:widowControl w:val="0"/>
        <w:spacing w:after="0" w:line="240" w:lineRule="auto"/>
        <w:jc w:val="both"/>
        <w:rPr>
          <w:rFonts w:ascii="Arial Narrow" w:eastAsia="MS Mincho" w:hAnsi="Arial Narrow" w:cs="Times New Roman"/>
          <w:b/>
          <w:sz w:val="24"/>
          <w:szCs w:val="24"/>
          <w:lang w:val="es-CR" w:eastAsia="es-ES"/>
        </w:rPr>
      </w:pPr>
      <w:r w:rsidRPr="009772CA">
        <w:rPr>
          <w:rFonts w:ascii="Arial Narrow" w:eastAsia="MS Mincho" w:hAnsi="Arial Narrow" w:cs="Times New Roman"/>
          <w:b/>
          <w:sz w:val="24"/>
          <w:szCs w:val="24"/>
          <w:lang w:val="es-CR" w:eastAsia="es-ES"/>
        </w:rPr>
        <w:t>Procedimiento:</w:t>
      </w:r>
    </w:p>
    <w:p w:rsidR="009772CA" w:rsidRPr="009772CA" w:rsidRDefault="009772CA" w:rsidP="009772CA">
      <w:pPr>
        <w:widowControl w:val="0"/>
        <w:spacing w:after="0" w:line="240" w:lineRule="auto"/>
        <w:jc w:val="both"/>
        <w:rPr>
          <w:rFonts w:ascii="Arial Narrow" w:eastAsia="MS Mincho" w:hAnsi="Arial Narrow" w:cs="Times New Roman"/>
          <w:sz w:val="24"/>
          <w:szCs w:val="24"/>
          <w:lang w:val="es-CR" w:eastAsia="es-ES"/>
        </w:rPr>
      </w:pPr>
    </w:p>
    <w:p w:rsidR="009772CA" w:rsidRPr="009772CA" w:rsidRDefault="009772CA" w:rsidP="009772CA">
      <w:pPr>
        <w:widowControl w:val="0"/>
        <w:spacing w:after="0" w:line="240" w:lineRule="auto"/>
        <w:jc w:val="both"/>
        <w:rPr>
          <w:rFonts w:ascii="Arial Narrow" w:eastAsia="MS Mincho" w:hAnsi="Arial Narrow" w:cs="Times New Roman"/>
          <w:sz w:val="24"/>
          <w:szCs w:val="24"/>
          <w:lang w:val="es-CR" w:eastAsia="es-ES"/>
        </w:rPr>
      </w:pPr>
    </w:p>
    <w:p w:rsidR="009772CA" w:rsidRPr="009772CA" w:rsidRDefault="009772CA" w:rsidP="009772CA">
      <w:pPr>
        <w:widowControl w:val="0"/>
        <w:numPr>
          <w:ilvl w:val="0"/>
          <w:numId w:val="1"/>
        </w:numPr>
        <w:tabs>
          <w:tab w:val="left" w:pos="284"/>
        </w:tabs>
        <w:spacing w:after="0" w:line="240" w:lineRule="auto"/>
        <w:ind w:left="0" w:firstLine="0"/>
        <w:contextualSpacing/>
        <w:jc w:val="both"/>
        <w:rPr>
          <w:rFonts w:ascii="Arial Narrow" w:eastAsia="MS Mincho" w:hAnsi="Arial Narrow" w:cs="Times New Roman"/>
          <w:sz w:val="24"/>
          <w:szCs w:val="24"/>
          <w:lang w:val="es-CR" w:eastAsia="es-ES"/>
        </w:rPr>
      </w:pPr>
      <w:r w:rsidRPr="009772CA">
        <w:rPr>
          <w:rFonts w:ascii="Arial Narrow" w:eastAsia="MS Mincho" w:hAnsi="Arial Narrow" w:cs="Times New Roman"/>
          <w:sz w:val="24"/>
          <w:szCs w:val="24"/>
          <w:lang w:val="es-CR" w:eastAsia="es-ES"/>
        </w:rPr>
        <w:t>Para el inicio del procedimiento sancionatorio, se deberá utilizar el formato de Propuesta motivada anexo, el cual para efectos de esta instrucción dividimos en tres partes (la primera columna, en verde,  no debe imprimir):</w:t>
      </w:r>
    </w:p>
    <w:p w:rsidR="009772CA" w:rsidRPr="009772CA" w:rsidRDefault="009772CA" w:rsidP="009772CA">
      <w:pPr>
        <w:widowControl w:val="0"/>
        <w:tabs>
          <w:tab w:val="left" w:pos="284"/>
        </w:tabs>
        <w:spacing w:after="0" w:line="240" w:lineRule="auto"/>
        <w:jc w:val="both"/>
        <w:rPr>
          <w:rFonts w:ascii="Arial Narrow" w:eastAsia="MS Mincho" w:hAnsi="Arial Narrow" w:cs="Times New Roman"/>
          <w:sz w:val="24"/>
          <w:szCs w:val="24"/>
          <w:lang w:val="es-CR" w:eastAsia="es-ES"/>
        </w:rPr>
      </w:pPr>
    </w:p>
    <w:p w:rsidR="009772CA" w:rsidRPr="009772CA" w:rsidRDefault="009772CA" w:rsidP="009772CA">
      <w:pPr>
        <w:widowControl w:val="0"/>
        <w:numPr>
          <w:ilvl w:val="0"/>
          <w:numId w:val="2"/>
        </w:numPr>
        <w:spacing w:after="0" w:line="240" w:lineRule="auto"/>
        <w:ind w:left="1134"/>
        <w:jc w:val="both"/>
        <w:rPr>
          <w:rFonts w:ascii="Arial Narrow" w:eastAsia="MS Mincho" w:hAnsi="Arial Narrow" w:cs="Times New Roman"/>
          <w:sz w:val="24"/>
          <w:szCs w:val="24"/>
          <w:lang w:val="es-CR" w:eastAsia="es-ES"/>
        </w:rPr>
      </w:pPr>
      <w:r w:rsidRPr="009772CA">
        <w:rPr>
          <w:rFonts w:ascii="Arial Narrow" w:eastAsia="MS Mincho" w:hAnsi="Arial Narrow" w:cs="Times New Roman"/>
          <w:sz w:val="24"/>
          <w:szCs w:val="24"/>
          <w:lang w:val="es-CR" w:eastAsia="es-ES"/>
        </w:rPr>
        <w:t>En la PRIMERA PARTE, las casillas 1 a 10 son estándar para todas las infracciones. Las casillas 11 en adelante serán llenadas con los datos que se requiera en cada caso, utilizando tantas casillas como sea necesario, según lo definan las Direcciones funcionales competentes.</w:t>
      </w:r>
    </w:p>
    <w:p w:rsidR="009772CA" w:rsidRPr="009772CA" w:rsidRDefault="009772CA" w:rsidP="009772CA">
      <w:pPr>
        <w:widowControl w:val="0"/>
        <w:numPr>
          <w:ilvl w:val="0"/>
          <w:numId w:val="2"/>
        </w:numPr>
        <w:spacing w:after="0" w:line="240" w:lineRule="auto"/>
        <w:ind w:left="1134"/>
        <w:jc w:val="both"/>
        <w:rPr>
          <w:rFonts w:ascii="Arial Narrow" w:eastAsia="MS Mincho" w:hAnsi="Arial Narrow" w:cs="Times New Roman"/>
          <w:sz w:val="24"/>
          <w:szCs w:val="24"/>
          <w:lang w:val="es-CR" w:eastAsia="es-ES"/>
        </w:rPr>
      </w:pPr>
      <w:r w:rsidRPr="009772CA">
        <w:rPr>
          <w:rFonts w:ascii="Arial Narrow" w:eastAsia="MS Mincho" w:hAnsi="Arial Narrow" w:cs="Times New Roman"/>
          <w:sz w:val="24"/>
          <w:szCs w:val="24"/>
          <w:lang w:val="es-CR" w:eastAsia="es-ES"/>
        </w:rPr>
        <w:lastRenderedPageBreak/>
        <w:t>Respecto a la SEGUNDA PARTE podrá variarse su contenido por parte de las Direcciones funcionales competentes para adecuarla a cada infracción.</w:t>
      </w:r>
    </w:p>
    <w:p w:rsidR="009772CA" w:rsidRPr="009772CA" w:rsidRDefault="009772CA" w:rsidP="009772CA">
      <w:pPr>
        <w:widowControl w:val="0"/>
        <w:numPr>
          <w:ilvl w:val="0"/>
          <w:numId w:val="2"/>
        </w:numPr>
        <w:spacing w:after="0" w:line="240" w:lineRule="auto"/>
        <w:ind w:left="1134"/>
        <w:jc w:val="both"/>
        <w:rPr>
          <w:rFonts w:ascii="Arial Narrow" w:eastAsia="MS Mincho" w:hAnsi="Arial Narrow" w:cs="Times New Roman"/>
          <w:sz w:val="24"/>
          <w:szCs w:val="24"/>
          <w:lang w:val="es-CR" w:eastAsia="es-ES"/>
        </w:rPr>
      </w:pPr>
      <w:r w:rsidRPr="009772CA">
        <w:rPr>
          <w:rFonts w:ascii="Arial Narrow" w:eastAsia="MS Mincho" w:hAnsi="Arial Narrow" w:cs="Times New Roman"/>
          <w:sz w:val="24"/>
          <w:szCs w:val="24"/>
          <w:lang w:val="es-CR" w:eastAsia="es-ES"/>
        </w:rPr>
        <w:t>Lo indicado en la TERCERA PARTE debe mantenerse igual en todos los casos.</w:t>
      </w:r>
    </w:p>
    <w:p w:rsidR="009772CA" w:rsidRPr="009772CA" w:rsidRDefault="009772CA" w:rsidP="009772CA">
      <w:pPr>
        <w:widowControl w:val="0"/>
        <w:tabs>
          <w:tab w:val="left" w:pos="284"/>
        </w:tabs>
        <w:spacing w:after="0" w:line="240" w:lineRule="auto"/>
        <w:jc w:val="both"/>
        <w:rPr>
          <w:rFonts w:ascii="Arial Narrow" w:eastAsia="MS Mincho" w:hAnsi="Arial Narrow" w:cs="Times New Roman"/>
          <w:sz w:val="24"/>
          <w:szCs w:val="24"/>
          <w:lang w:val="es-CR" w:eastAsia="es-ES"/>
        </w:rPr>
      </w:pPr>
    </w:p>
    <w:p w:rsidR="009772CA" w:rsidRPr="009772CA" w:rsidRDefault="009772CA" w:rsidP="009772CA">
      <w:pPr>
        <w:widowControl w:val="0"/>
        <w:numPr>
          <w:ilvl w:val="0"/>
          <w:numId w:val="1"/>
        </w:numPr>
        <w:tabs>
          <w:tab w:val="left" w:pos="284"/>
        </w:tabs>
        <w:spacing w:after="0" w:line="240" w:lineRule="auto"/>
        <w:ind w:left="0" w:firstLine="0"/>
        <w:contextualSpacing/>
        <w:jc w:val="both"/>
        <w:rPr>
          <w:rFonts w:ascii="Arial Narrow" w:eastAsia="MS Mincho" w:hAnsi="Arial Narrow" w:cs="Times New Roman"/>
          <w:sz w:val="24"/>
          <w:szCs w:val="24"/>
          <w:lang w:val="es-CR" w:eastAsia="es-ES"/>
        </w:rPr>
      </w:pPr>
      <w:r w:rsidRPr="009772CA">
        <w:rPr>
          <w:rFonts w:ascii="Arial Narrow" w:eastAsia="MS Mincho" w:hAnsi="Arial Narrow" w:cs="Times New Roman"/>
          <w:sz w:val="24"/>
          <w:szCs w:val="24"/>
          <w:lang w:val="es-CR" w:eastAsia="es-ES"/>
        </w:rPr>
        <w:t>Una vez emitida la Propuesta Motivada  será notificada al interesado y se le concederá un plazo de diez días hábiles para que se manifieste.</w:t>
      </w:r>
    </w:p>
    <w:p w:rsidR="009772CA" w:rsidRPr="009772CA" w:rsidRDefault="009772CA" w:rsidP="009772CA">
      <w:pPr>
        <w:widowControl w:val="0"/>
        <w:tabs>
          <w:tab w:val="left" w:pos="284"/>
        </w:tabs>
        <w:jc w:val="both"/>
        <w:rPr>
          <w:rFonts w:ascii="Arial Narrow" w:eastAsia="MS Mincho" w:hAnsi="Arial Narrow"/>
          <w:szCs w:val="24"/>
          <w:lang w:val="es-CR" w:eastAsia="es-ES"/>
        </w:rPr>
      </w:pPr>
    </w:p>
    <w:p w:rsidR="009772CA" w:rsidRPr="009772CA" w:rsidRDefault="009772CA" w:rsidP="009772CA">
      <w:pPr>
        <w:widowControl w:val="0"/>
        <w:numPr>
          <w:ilvl w:val="0"/>
          <w:numId w:val="1"/>
        </w:numPr>
        <w:tabs>
          <w:tab w:val="left" w:pos="284"/>
        </w:tabs>
        <w:spacing w:after="0" w:line="240" w:lineRule="auto"/>
        <w:ind w:left="0" w:firstLine="0"/>
        <w:contextualSpacing/>
        <w:jc w:val="both"/>
        <w:rPr>
          <w:rFonts w:ascii="Arial Narrow" w:eastAsia="MS Mincho" w:hAnsi="Arial Narrow" w:cs="Times New Roman"/>
          <w:sz w:val="24"/>
          <w:szCs w:val="24"/>
          <w:lang w:val="es-CR" w:eastAsia="es-ES"/>
        </w:rPr>
      </w:pPr>
      <w:r w:rsidRPr="009772CA">
        <w:rPr>
          <w:rFonts w:ascii="Arial Narrow" w:eastAsia="MS Mincho" w:hAnsi="Arial Narrow" w:cs="Times New Roman"/>
          <w:sz w:val="24"/>
          <w:szCs w:val="24"/>
          <w:lang w:val="es-CR" w:eastAsia="es-ES"/>
        </w:rPr>
        <w:t>Si autoliquida correctamente la sanción se procederá a archivar el expediente mediante auto que así lo dispone.</w:t>
      </w:r>
    </w:p>
    <w:p w:rsidR="009772CA" w:rsidRPr="009772CA" w:rsidRDefault="009772CA" w:rsidP="009772CA">
      <w:pPr>
        <w:widowControl w:val="0"/>
        <w:tabs>
          <w:tab w:val="left" w:pos="284"/>
        </w:tabs>
        <w:spacing w:after="0" w:line="240" w:lineRule="auto"/>
        <w:jc w:val="both"/>
        <w:rPr>
          <w:rFonts w:ascii="Arial Narrow" w:eastAsia="MS Mincho" w:hAnsi="Arial Narrow" w:cs="Times New Roman"/>
          <w:sz w:val="24"/>
          <w:szCs w:val="24"/>
          <w:lang w:val="es-CR" w:eastAsia="es-ES"/>
        </w:rPr>
      </w:pPr>
    </w:p>
    <w:p w:rsidR="009772CA" w:rsidRPr="009772CA" w:rsidRDefault="009772CA" w:rsidP="009772CA">
      <w:pPr>
        <w:widowControl w:val="0"/>
        <w:numPr>
          <w:ilvl w:val="0"/>
          <w:numId w:val="1"/>
        </w:numPr>
        <w:tabs>
          <w:tab w:val="left" w:pos="284"/>
        </w:tabs>
        <w:spacing w:after="0" w:line="240" w:lineRule="auto"/>
        <w:ind w:left="0" w:firstLine="0"/>
        <w:contextualSpacing/>
        <w:jc w:val="both"/>
        <w:rPr>
          <w:rFonts w:ascii="Arial Narrow" w:eastAsia="MS Mincho" w:hAnsi="Arial Narrow" w:cs="Times New Roman"/>
          <w:sz w:val="24"/>
          <w:szCs w:val="24"/>
          <w:lang w:val="es-CR" w:eastAsia="es-ES"/>
        </w:rPr>
      </w:pPr>
      <w:r w:rsidRPr="009772CA">
        <w:rPr>
          <w:rFonts w:ascii="Arial Narrow" w:eastAsia="MS Mincho" w:hAnsi="Arial Narrow" w:cs="Times New Roman"/>
          <w:sz w:val="24"/>
          <w:szCs w:val="24"/>
          <w:lang w:val="es-CR" w:eastAsia="es-ES"/>
        </w:rPr>
        <w:t>Concluido dicho plazo, se emitirá la resolución respectiva. Si el interesado se apersonó y se le impone una sanción, la resolución deberá conocer todos y cada uno de los alegatos del obligado tributario, así como valorar la prueba aportada, de conformidad con lo establecido en el artículo 147 del Código Tributario.</w:t>
      </w:r>
    </w:p>
    <w:p w:rsidR="009772CA" w:rsidRPr="009772CA" w:rsidRDefault="009772CA" w:rsidP="009772CA">
      <w:pPr>
        <w:spacing w:after="0" w:line="240" w:lineRule="auto"/>
        <w:rPr>
          <w:rFonts w:ascii="Arial Narrow" w:eastAsia="MS Mincho" w:hAnsi="Arial Narrow" w:cs="Times New Roman"/>
          <w:sz w:val="24"/>
          <w:szCs w:val="24"/>
          <w:lang w:val="es-CR" w:eastAsia="es-ES"/>
        </w:rPr>
      </w:pPr>
    </w:p>
    <w:p w:rsidR="009772CA" w:rsidRPr="009772CA" w:rsidRDefault="009772CA" w:rsidP="009772CA">
      <w:pPr>
        <w:spacing w:after="0" w:line="240" w:lineRule="auto"/>
        <w:contextualSpacing/>
        <w:jc w:val="center"/>
        <w:rPr>
          <w:rFonts w:ascii="Arial Narrow" w:eastAsiaTheme="minorEastAsia" w:hAnsi="Arial Narrow"/>
          <w:b/>
          <w:sz w:val="24"/>
          <w:lang w:val="es-CR" w:eastAsia="es-ES"/>
        </w:rPr>
      </w:pPr>
      <w:r w:rsidRPr="009772CA">
        <w:rPr>
          <w:rFonts w:ascii="Arial Narrow" w:eastAsiaTheme="minorEastAsia" w:hAnsi="Arial Narrow"/>
          <w:b/>
          <w:lang w:val="es-CR" w:eastAsia="es-CR"/>
        </w:rPr>
        <w:br w:type="page"/>
      </w:r>
      <w:r w:rsidRPr="009772CA">
        <w:rPr>
          <w:rFonts w:ascii="Arial Narrow" w:eastAsiaTheme="minorEastAsia" w:hAnsi="Arial Narrow"/>
          <w:b/>
          <w:sz w:val="24"/>
          <w:lang w:val="es-CR" w:eastAsia="es-ES"/>
        </w:rPr>
        <w:lastRenderedPageBreak/>
        <w:t>Anexo</w:t>
      </w:r>
    </w:p>
    <w:p w:rsidR="009772CA" w:rsidRPr="009772CA" w:rsidRDefault="009772CA" w:rsidP="009772CA">
      <w:pPr>
        <w:spacing w:after="0" w:line="240" w:lineRule="auto"/>
        <w:rPr>
          <w:rFonts w:ascii="Arial Narrow" w:eastAsiaTheme="minorEastAsia" w:hAnsi="Arial Narrow"/>
          <w:sz w:val="18"/>
          <w:lang w:val="es-CR" w:eastAsia="es-ES"/>
        </w:rPr>
      </w:pPr>
    </w:p>
    <w:p w:rsidR="009772CA" w:rsidRPr="009772CA" w:rsidRDefault="009772CA" w:rsidP="009772CA">
      <w:pPr>
        <w:tabs>
          <w:tab w:val="left" w:pos="3030"/>
          <w:tab w:val="right" w:pos="9860"/>
        </w:tabs>
        <w:spacing w:after="0" w:line="240" w:lineRule="auto"/>
        <w:contextualSpacing/>
        <w:rPr>
          <w:rFonts w:ascii="Calibri" w:eastAsia="Times New Roman" w:hAnsi="Calibri" w:cs="Calibri"/>
          <w:b/>
          <w:sz w:val="20"/>
          <w:szCs w:val="20"/>
          <w:lang w:eastAsia="es-ES"/>
        </w:rPr>
      </w:pPr>
      <w:r w:rsidRPr="009772CA">
        <w:rPr>
          <w:rFonts w:ascii="Calibri" w:eastAsia="Times New Roman" w:hAnsi="Calibri" w:cs="Calibri"/>
          <w:b/>
          <w:sz w:val="20"/>
          <w:szCs w:val="20"/>
          <w:lang w:eastAsia="es-ES"/>
        </w:rPr>
        <w:t xml:space="preserve">DIRECCIÓN GENERAL DE TRIBUTACIÓN                                                                         </w:t>
      </w:r>
    </w:p>
    <w:p w:rsidR="009772CA" w:rsidRPr="009772CA" w:rsidRDefault="009772CA" w:rsidP="009772CA">
      <w:pPr>
        <w:tabs>
          <w:tab w:val="left" w:pos="3030"/>
          <w:tab w:val="right" w:pos="9860"/>
        </w:tabs>
        <w:spacing w:after="0" w:line="240" w:lineRule="auto"/>
        <w:contextualSpacing/>
        <w:rPr>
          <w:rFonts w:ascii="Calibri" w:eastAsia="Times New Roman" w:hAnsi="Calibri" w:cs="Calibri"/>
          <w:sz w:val="20"/>
          <w:szCs w:val="20"/>
          <w:lang w:eastAsia="es-ES"/>
        </w:rPr>
      </w:pPr>
      <w:r w:rsidRPr="009772CA">
        <w:rPr>
          <w:rFonts w:ascii="Calibri" w:eastAsia="Times New Roman" w:hAnsi="Calibri" w:cs="Calibri"/>
          <w:b/>
          <w:sz w:val="20"/>
          <w:szCs w:val="20"/>
          <w:lang w:eastAsia="es-ES"/>
        </w:rPr>
        <w:t xml:space="preserve">Administración Tributaria de </w:t>
      </w:r>
      <w:r w:rsidRPr="009772CA">
        <w:rPr>
          <w:rFonts w:ascii="Calibri" w:eastAsia="Times New Roman" w:hAnsi="Calibri" w:cs="Calibri"/>
          <w:i/>
          <w:color w:val="FF0000"/>
          <w:sz w:val="20"/>
          <w:szCs w:val="20"/>
          <w:lang w:eastAsia="es-ES"/>
        </w:rPr>
        <w:t>(indicar)</w:t>
      </w:r>
    </w:p>
    <w:p w:rsidR="009772CA" w:rsidRPr="009772CA" w:rsidRDefault="009772CA" w:rsidP="009772CA">
      <w:pPr>
        <w:spacing w:after="0" w:line="240" w:lineRule="auto"/>
        <w:contextualSpacing/>
        <w:jc w:val="center"/>
        <w:rPr>
          <w:rFonts w:ascii="Calibri" w:eastAsia="Times New Roman" w:hAnsi="Calibri" w:cs="Calibri"/>
          <w:b/>
          <w:sz w:val="20"/>
          <w:szCs w:val="20"/>
          <w:lang w:eastAsia="es-ES"/>
        </w:rPr>
      </w:pPr>
    </w:p>
    <w:p w:rsidR="009772CA" w:rsidRPr="009772CA" w:rsidRDefault="009772CA" w:rsidP="009772CA">
      <w:pPr>
        <w:spacing w:after="0" w:line="240" w:lineRule="auto"/>
        <w:contextualSpacing/>
        <w:jc w:val="center"/>
        <w:rPr>
          <w:rFonts w:ascii="Calibri" w:eastAsia="Times New Roman" w:hAnsi="Calibri" w:cs="Calibri"/>
          <w:b/>
          <w:caps/>
          <w:sz w:val="20"/>
          <w:szCs w:val="20"/>
          <w:lang w:eastAsia="es-ES"/>
        </w:rPr>
      </w:pPr>
      <w:r w:rsidRPr="009772CA">
        <w:rPr>
          <w:rFonts w:ascii="Calibri" w:eastAsia="Times New Roman" w:hAnsi="Calibri" w:cs="Calibri"/>
          <w:b/>
          <w:caps/>
          <w:sz w:val="20"/>
          <w:szCs w:val="20"/>
          <w:lang w:eastAsia="es-ES"/>
        </w:rPr>
        <w:t xml:space="preserve">Propuesta MOTIVADA  </w:t>
      </w:r>
    </w:p>
    <w:p w:rsidR="009772CA" w:rsidRPr="009772CA" w:rsidRDefault="009772CA" w:rsidP="009772CA">
      <w:pPr>
        <w:spacing w:after="0" w:line="240" w:lineRule="auto"/>
        <w:contextualSpacing/>
        <w:jc w:val="center"/>
        <w:rPr>
          <w:rFonts w:ascii="Calibri" w:eastAsia="Times New Roman" w:hAnsi="Calibri" w:cs="Calibri"/>
          <w:b/>
          <w:sz w:val="18"/>
          <w:szCs w:val="18"/>
          <w:lang w:eastAsia="es-ES"/>
        </w:rPr>
      </w:pPr>
    </w:p>
    <w:tbl>
      <w:tblPr>
        <w:tblW w:w="9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534"/>
        <w:gridCol w:w="4394"/>
        <w:gridCol w:w="440"/>
        <w:gridCol w:w="3812"/>
      </w:tblGrid>
      <w:tr w:rsidR="009772CA" w:rsidRPr="009772CA" w:rsidTr="009772CA">
        <w:tc>
          <w:tcPr>
            <w:tcW w:w="534" w:type="dxa"/>
            <w:vMerge w:val="restart"/>
            <w:tcBorders>
              <w:top w:val="single" w:sz="4" w:space="0" w:color="000000"/>
              <w:left w:val="single" w:sz="4" w:space="0" w:color="000000"/>
              <w:bottom w:val="single" w:sz="4" w:space="0" w:color="000000"/>
              <w:right w:val="single" w:sz="4" w:space="0" w:color="000000"/>
            </w:tcBorders>
            <w:shd w:val="clear" w:color="auto" w:fill="76923C" w:themeFill="accent3" w:themeFillShade="BF"/>
            <w:textDirection w:val="btLr"/>
            <w:vAlign w:val="center"/>
            <w:hideMark/>
          </w:tcPr>
          <w:p w:rsidR="009772CA" w:rsidRPr="009772CA" w:rsidRDefault="009772CA" w:rsidP="009772CA">
            <w:pPr>
              <w:spacing w:after="0" w:line="240" w:lineRule="auto"/>
              <w:contextualSpacing/>
              <w:jc w:val="center"/>
              <w:rPr>
                <w:rFonts w:ascii="Arial Narrow" w:eastAsia="Times New Roman" w:hAnsi="Arial Narrow" w:cs="Calibri"/>
                <w:b/>
                <w:color w:val="FFFFFF" w:themeColor="background1"/>
                <w:szCs w:val="18"/>
                <w:lang w:eastAsia="es-ES"/>
              </w:rPr>
            </w:pPr>
            <w:r w:rsidRPr="009772CA">
              <w:rPr>
                <w:rFonts w:ascii="Arial Narrow" w:eastAsia="Times New Roman" w:hAnsi="Arial Narrow" w:cs="Calibri"/>
                <w:b/>
                <w:color w:val="FFFFFF" w:themeColor="background1"/>
                <w:szCs w:val="18"/>
                <w:lang w:eastAsia="es-ES"/>
              </w:rPr>
              <w:t>PRIMERA PARTE</w:t>
            </w:r>
          </w:p>
        </w:tc>
        <w:tc>
          <w:tcPr>
            <w:tcW w:w="534"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1</w:t>
            </w:r>
          </w:p>
        </w:tc>
        <w:tc>
          <w:tcPr>
            <w:tcW w:w="4394" w:type="dxa"/>
            <w:tcBorders>
              <w:top w:val="single" w:sz="4" w:space="0" w:color="000000"/>
              <w:left w:val="single" w:sz="4" w:space="0" w:color="000000"/>
              <w:bottom w:val="single" w:sz="4" w:space="0" w:color="000000"/>
              <w:right w:val="single" w:sz="4" w:space="0" w:color="000000"/>
            </w:tcBorders>
          </w:tcPr>
          <w:p w:rsidR="009772CA" w:rsidRPr="009772CA" w:rsidRDefault="009772CA" w:rsidP="009772CA">
            <w:pPr>
              <w:spacing w:after="0" w:line="240" w:lineRule="auto"/>
              <w:contextualSpacing/>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 xml:space="preserve">Nombre del obligado tributario: </w:t>
            </w:r>
          </w:p>
          <w:p w:rsidR="009772CA" w:rsidRPr="009772CA" w:rsidRDefault="009772CA" w:rsidP="009772CA">
            <w:pPr>
              <w:spacing w:after="0" w:line="240" w:lineRule="auto"/>
              <w:contextualSpacing/>
              <w:rPr>
                <w:rFonts w:ascii="Arial Narrow" w:eastAsia="Times New Roman" w:hAnsi="Arial Narrow" w:cs="Calibri"/>
                <w:sz w:val="18"/>
                <w:szCs w:val="18"/>
                <w:lang w:eastAsia="es-ES"/>
              </w:rPr>
            </w:pPr>
          </w:p>
        </w:tc>
        <w:tc>
          <w:tcPr>
            <w:tcW w:w="440"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2</w:t>
            </w:r>
          </w:p>
        </w:tc>
        <w:tc>
          <w:tcPr>
            <w:tcW w:w="3812" w:type="dxa"/>
            <w:tcBorders>
              <w:top w:val="single" w:sz="4" w:space="0" w:color="000000"/>
              <w:left w:val="single" w:sz="4" w:space="0" w:color="000000"/>
              <w:bottom w:val="single" w:sz="4" w:space="0" w:color="000000"/>
              <w:right w:val="single" w:sz="4" w:space="0" w:color="000000"/>
            </w:tcBorders>
            <w:hideMark/>
          </w:tcPr>
          <w:p w:rsidR="009772CA" w:rsidRPr="009772CA" w:rsidRDefault="009772CA" w:rsidP="009772CA">
            <w:pPr>
              <w:spacing w:after="0" w:line="240" w:lineRule="auto"/>
              <w:contextualSpacing/>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Documento:  (</w:t>
            </w:r>
            <w:r w:rsidRPr="009772CA">
              <w:rPr>
                <w:rFonts w:ascii="Arial Narrow" w:eastAsia="Times New Roman" w:hAnsi="Arial Narrow" w:cs="Calibri"/>
                <w:i/>
                <w:color w:val="FF0000"/>
                <w:sz w:val="18"/>
                <w:szCs w:val="18"/>
                <w:lang w:eastAsia="es-ES"/>
              </w:rPr>
              <w:t>número de propuesta</w:t>
            </w:r>
            <w:r w:rsidRPr="009772CA">
              <w:rPr>
                <w:rFonts w:ascii="Arial Narrow" w:eastAsia="Times New Roman" w:hAnsi="Arial Narrow" w:cs="Calibri"/>
                <w:sz w:val="18"/>
                <w:szCs w:val="18"/>
                <w:lang w:eastAsia="es-ES"/>
              </w:rPr>
              <w:t>)</w:t>
            </w:r>
          </w:p>
        </w:tc>
      </w:tr>
      <w:tr w:rsidR="009772CA" w:rsidRPr="009772CA" w:rsidTr="009772C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rPr>
                <w:rFonts w:ascii="Arial Narrow" w:eastAsia="Times New Roman" w:hAnsi="Arial Narrow" w:cs="Calibri"/>
                <w:b/>
                <w:color w:val="FFFFFF" w:themeColor="background1"/>
                <w:szCs w:val="18"/>
                <w:lang w:eastAsia="es-ES"/>
              </w:rPr>
            </w:pPr>
          </w:p>
        </w:tc>
        <w:tc>
          <w:tcPr>
            <w:tcW w:w="534"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3</w:t>
            </w:r>
          </w:p>
        </w:tc>
        <w:tc>
          <w:tcPr>
            <w:tcW w:w="4394" w:type="dxa"/>
            <w:tcBorders>
              <w:top w:val="single" w:sz="4" w:space="0" w:color="000000"/>
              <w:left w:val="single" w:sz="4" w:space="0" w:color="000000"/>
              <w:bottom w:val="single" w:sz="4" w:space="0" w:color="000000"/>
              <w:right w:val="single" w:sz="4" w:space="0" w:color="000000"/>
            </w:tcBorders>
          </w:tcPr>
          <w:p w:rsidR="009772CA" w:rsidRPr="009772CA" w:rsidRDefault="009772CA" w:rsidP="009772CA">
            <w:pPr>
              <w:spacing w:after="0" w:line="240" w:lineRule="auto"/>
              <w:contextualSpacing/>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N° de identificación del obligado tributario:</w:t>
            </w:r>
          </w:p>
          <w:p w:rsidR="009772CA" w:rsidRPr="009772CA" w:rsidRDefault="009772CA" w:rsidP="009772CA">
            <w:pPr>
              <w:spacing w:after="0" w:line="240" w:lineRule="auto"/>
              <w:contextualSpacing/>
              <w:rPr>
                <w:rFonts w:ascii="Arial Narrow" w:eastAsia="Times New Roman" w:hAnsi="Arial Narrow" w:cs="Calibri"/>
                <w:sz w:val="18"/>
                <w:szCs w:val="18"/>
                <w:lang w:eastAsia="es-ES"/>
              </w:rPr>
            </w:pPr>
          </w:p>
        </w:tc>
        <w:tc>
          <w:tcPr>
            <w:tcW w:w="440"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4</w:t>
            </w:r>
          </w:p>
        </w:tc>
        <w:tc>
          <w:tcPr>
            <w:tcW w:w="3812" w:type="dxa"/>
            <w:tcBorders>
              <w:top w:val="single" w:sz="4" w:space="0" w:color="000000"/>
              <w:left w:val="single" w:sz="4" w:space="0" w:color="000000"/>
              <w:bottom w:val="single" w:sz="4" w:space="0" w:color="000000"/>
              <w:right w:val="single" w:sz="4" w:space="0" w:color="000000"/>
            </w:tcBorders>
            <w:hideMark/>
          </w:tcPr>
          <w:p w:rsidR="009772CA" w:rsidRPr="009772CA" w:rsidRDefault="009772CA" w:rsidP="009772CA">
            <w:pPr>
              <w:spacing w:after="0" w:line="240" w:lineRule="auto"/>
              <w:contextualSpacing/>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Fecha de emisión: (</w:t>
            </w:r>
            <w:r w:rsidRPr="009772CA">
              <w:rPr>
                <w:rFonts w:ascii="Arial Narrow" w:eastAsia="Times New Roman" w:hAnsi="Arial Narrow" w:cs="Calibri"/>
                <w:i/>
                <w:color w:val="FF0000"/>
                <w:sz w:val="18"/>
                <w:szCs w:val="18"/>
                <w:lang w:eastAsia="es-ES"/>
              </w:rPr>
              <w:t>fecha de propuesta</w:t>
            </w:r>
            <w:r w:rsidRPr="009772CA">
              <w:rPr>
                <w:rFonts w:ascii="Arial Narrow" w:eastAsia="Times New Roman" w:hAnsi="Arial Narrow" w:cs="Calibri"/>
                <w:sz w:val="18"/>
                <w:szCs w:val="18"/>
                <w:lang w:eastAsia="es-ES"/>
              </w:rPr>
              <w:t>)</w:t>
            </w:r>
          </w:p>
        </w:tc>
      </w:tr>
      <w:tr w:rsidR="009772CA" w:rsidRPr="009772CA" w:rsidTr="009772C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rPr>
                <w:rFonts w:ascii="Arial Narrow" w:eastAsia="Times New Roman" w:hAnsi="Arial Narrow" w:cs="Calibri"/>
                <w:b/>
                <w:color w:val="FFFFFF" w:themeColor="background1"/>
                <w:szCs w:val="18"/>
                <w:lang w:eastAsia="es-ES"/>
              </w:rPr>
            </w:pPr>
          </w:p>
        </w:tc>
        <w:tc>
          <w:tcPr>
            <w:tcW w:w="534"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5</w:t>
            </w:r>
          </w:p>
        </w:tc>
        <w:tc>
          <w:tcPr>
            <w:tcW w:w="8646" w:type="dxa"/>
            <w:gridSpan w:val="3"/>
            <w:tcBorders>
              <w:top w:val="single" w:sz="4" w:space="0" w:color="000000"/>
              <w:left w:val="single" w:sz="4" w:space="0" w:color="000000"/>
              <w:bottom w:val="single" w:sz="4" w:space="0" w:color="000000"/>
              <w:right w:val="single" w:sz="4" w:space="0" w:color="000000"/>
            </w:tcBorders>
          </w:tcPr>
          <w:p w:rsidR="009772CA" w:rsidRPr="009772CA" w:rsidRDefault="009772CA" w:rsidP="009772CA">
            <w:pPr>
              <w:spacing w:after="0" w:line="240" w:lineRule="auto"/>
              <w:contextualSpacing/>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 xml:space="preserve">Nombre comercial: </w:t>
            </w:r>
            <w:r w:rsidRPr="009772CA">
              <w:rPr>
                <w:rFonts w:ascii="Arial Narrow" w:eastAsia="Times New Roman" w:hAnsi="Arial Narrow" w:cs="Calibri"/>
                <w:i/>
                <w:color w:val="FF0000"/>
                <w:sz w:val="18"/>
                <w:szCs w:val="18"/>
                <w:lang w:eastAsia="es-ES"/>
              </w:rPr>
              <w:t>(cuando corresponda)</w:t>
            </w:r>
          </w:p>
          <w:p w:rsidR="009772CA" w:rsidRPr="009772CA" w:rsidRDefault="009772CA" w:rsidP="009772CA">
            <w:pPr>
              <w:spacing w:after="0" w:line="240" w:lineRule="auto"/>
              <w:contextualSpacing/>
              <w:rPr>
                <w:rFonts w:ascii="Arial Narrow" w:eastAsia="Times New Roman" w:hAnsi="Arial Narrow" w:cs="Calibri"/>
                <w:sz w:val="18"/>
                <w:szCs w:val="18"/>
                <w:lang w:eastAsia="es-ES"/>
              </w:rPr>
            </w:pPr>
          </w:p>
        </w:tc>
      </w:tr>
      <w:tr w:rsidR="009772CA" w:rsidRPr="009772CA" w:rsidTr="009772C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rPr>
                <w:rFonts w:ascii="Arial Narrow" w:eastAsia="Times New Roman" w:hAnsi="Arial Narrow" w:cs="Calibri"/>
                <w:b/>
                <w:color w:val="FFFFFF" w:themeColor="background1"/>
                <w:szCs w:val="18"/>
                <w:lang w:eastAsia="es-ES"/>
              </w:rPr>
            </w:pPr>
          </w:p>
        </w:tc>
        <w:tc>
          <w:tcPr>
            <w:tcW w:w="534"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6</w:t>
            </w:r>
          </w:p>
        </w:tc>
        <w:tc>
          <w:tcPr>
            <w:tcW w:w="8646" w:type="dxa"/>
            <w:gridSpan w:val="3"/>
            <w:tcBorders>
              <w:top w:val="single" w:sz="4" w:space="0" w:color="000000"/>
              <w:left w:val="single" w:sz="4" w:space="0" w:color="000000"/>
              <w:bottom w:val="single" w:sz="4" w:space="0" w:color="000000"/>
              <w:right w:val="single" w:sz="4" w:space="0" w:color="000000"/>
            </w:tcBorders>
          </w:tcPr>
          <w:p w:rsidR="009772CA" w:rsidRPr="009772CA" w:rsidRDefault="009772CA" w:rsidP="009772CA">
            <w:pPr>
              <w:spacing w:after="0" w:line="240" w:lineRule="auto"/>
              <w:contextualSpacing/>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Domicilio Fiscal: (</w:t>
            </w:r>
            <w:r w:rsidRPr="009772CA">
              <w:rPr>
                <w:rFonts w:ascii="Arial Narrow" w:eastAsia="Times New Roman" w:hAnsi="Arial Narrow" w:cs="Calibri"/>
                <w:i/>
                <w:color w:val="FF0000"/>
                <w:sz w:val="18"/>
                <w:szCs w:val="18"/>
                <w:lang w:eastAsia="es-ES"/>
              </w:rPr>
              <w:t>detallar dirección</w:t>
            </w:r>
            <w:r w:rsidRPr="009772CA">
              <w:rPr>
                <w:rFonts w:ascii="Arial Narrow" w:eastAsia="Times New Roman" w:hAnsi="Arial Narrow" w:cs="Calibri"/>
                <w:sz w:val="18"/>
                <w:szCs w:val="18"/>
                <w:lang w:eastAsia="es-ES"/>
              </w:rPr>
              <w:t>)</w:t>
            </w:r>
          </w:p>
          <w:p w:rsidR="009772CA" w:rsidRPr="009772CA" w:rsidRDefault="009772CA" w:rsidP="009772CA">
            <w:pPr>
              <w:spacing w:after="0" w:line="240" w:lineRule="auto"/>
              <w:contextualSpacing/>
              <w:rPr>
                <w:rFonts w:ascii="Arial Narrow" w:eastAsia="Times New Roman" w:hAnsi="Arial Narrow" w:cs="Calibri"/>
                <w:sz w:val="18"/>
                <w:szCs w:val="18"/>
                <w:lang w:eastAsia="es-ES"/>
              </w:rPr>
            </w:pPr>
          </w:p>
        </w:tc>
      </w:tr>
      <w:tr w:rsidR="009772CA" w:rsidRPr="009772CA" w:rsidTr="009772C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rPr>
                <w:rFonts w:ascii="Arial Narrow" w:eastAsia="Times New Roman" w:hAnsi="Arial Narrow" w:cs="Calibri"/>
                <w:b/>
                <w:color w:val="FFFFFF" w:themeColor="background1"/>
                <w:szCs w:val="18"/>
                <w:lang w:eastAsia="es-ES"/>
              </w:rPr>
            </w:pPr>
          </w:p>
        </w:tc>
        <w:tc>
          <w:tcPr>
            <w:tcW w:w="534"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7</w:t>
            </w:r>
          </w:p>
        </w:tc>
        <w:tc>
          <w:tcPr>
            <w:tcW w:w="8646" w:type="dxa"/>
            <w:gridSpan w:val="3"/>
            <w:tcBorders>
              <w:top w:val="single" w:sz="4" w:space="0" w:color="000000"/>
              <w:left w:val="single" w:sz="4" w:space="0" w:color="000000"/>
              <w:bottom w:val="single" w:sz="4" w:space="0" w:color="000000"/>
              <w:right w:val="single" w:sz="4" w:space="0" w:color="000000"/>
            </w:tcBorders>
          </w:tcPr>
          <w:p w:rsidR="009772CA" w:rsidRPr="009772CA" w:rsidRDefault="009772CA" w:rsidP="009772CA">
            <w:pPr>
              <w:spacing w:after="0" w:line="240" w:lineRule="auto"/>
              <w:contextualSpacing/>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Teléfonos registrados:</w:t>
            </w:r>
          </w:p>
          <w:p w:rsidR="009772CA" w:rsidRPr="009772CA" w:rsidRDefault="009772CA" w:rsidP="009772CA">
            <w:pPr>
              <w:spacing w:after="0" w:line="240" w:lineRule="auto"/>
              <w:contextualSpacing/>
              <w:rPr>
                <w:rFonts w:ascii="Arial Narrow" w:eastAsia="Times New Roman" w:hAnsi="Arial Narrow" w:cs="Calibri"/>
                <w:sz w:val="18"/>
                <w:szCs w:val="18"/>
                <w:lang w:eastAsia="es-ES"/>
              </w:rPr>
            </w:pPr>
          </w:p>
        </w:tc>
      </w:tr>
      <w:tr w:rsidR="009772CA" w:rsidRPr="009772CA" w:rsidTr="009772C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rPr>
                <w:rFonts w:ascii="Arial Narrow" w:eastAsia="Times New Roman" w:hAnsi="Arial Narrow" w:cs="Calibri"/>
                <w:b/>
                <w:color w:val="FFFFFF" w:themeColor="background1"/>
                <w:szCs w:val="18"/>
                <w:lang w:eastAsia="es-ES"/>
              </w:rPr>
            </w:pPr>
          </w:p>
        </w:tc>
        <w:tc>
          <w:tcPr>
            <w:tcW w:w="534"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8</w:t>
            </w:r>
          </w:p>
        </w:tc>
        <w:tc>
          <w:tcPr>
            <w:tcW w:w="4394" w:type="dxa"/>
            <w:tcBorders>
              <w:top w:val="single" w:sz="4" w:space="0" w:color="000000"/>
              <w:left w:val="single" w:sz="4" w:space="0" w:color="000000"/>
              <w:bottom w:val="single" w:sz="4" w:space="0" w:color="000000"/>
              <w:right w:val="single" w:sz="4" w:space="0" w:color="000000"/>
            </w:tcBorders>
          </w:tcPr>
          <w:p w:rsidR="009772CA" w:rsidRPr="009772CA" w:rsidRDefault="009772CA" w:rsidP="009772CA">
            <w:pPr>
              <w:spacing w:after="0" w:line="240" w:lineRule="auto"/>
              <w:contextualSpacing/>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 xml:space="preserve">Nombre del representante legal: </w:t>
            </w:r>
            <w:r w:rsidRPr="009772CA">
              <w:rPr>
                <w:rFonts w:ascii="Arial Narrow" w:eastAsia="Times New Roman" w:hAnsi="Arial Narrow" w:cs="Calibri"/>
                <w:i/>
                <w:color w:val="FF0000"/>
                <w:sz w:val="18"/>
                <w:szCs w:val="18"/>
                <w:lang w:eastAsia="es-ES"/>
              </w:rPr>
              <w:t>(cuando corresponda)</w:t>
            </w:r>
          </w:p>
          <w:p w:rsidR="009772CA" w:rsidRPr="009772CA" w:rsidRDefault="009772CA" w:rsidP="009772CA">
            <w:pPr>
              <w:spacing w:after="0" w:line="240" w:lineRule="auto"/>
              <w:contextualSpacing/>
              <w:rPr>
                <w:rFonts w:ascii="Arial Narrow" w:eastAsia="Times New Roman" w:hAnsi="Arial Narrow" w:cs="Calibri"/>
                <w:sz w:val="18"/>
                <w:szCs w:val="18"/>
                <w:lang w:eastAsia="es-ES"/>
              </w:rPr>
            </w:pPr>
          </w:p>
        </w:tc>
        <w:tc>
          <w:tcPr>
            <w:tcW w:w="440"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9</w:t>
            </w:r>
          </w:p>
        </w:tc>
        <w:tc>
          <w:tcPr>
            <w:tcW w:w="3812" w:type="dxa"/>
            <w:tcBorders>
              <w:top w:val="single" w:sz="4" w:space="0" w:color="000000"/>
              <w:left w:val="single" w:sz="4" w:space="0" w:color="000000"/>
              <w:bottom w:val="single" w:sz="4" w:space="0" w:color="000000"/>
              <w:right w:val="single" w:sz="4" w:space="0" w:color="000000"/>
            </w:tcBorders>
          </w:tcPr>
          <w:p w:rsidR="009772CA" w:rsidRPr="009772CA" w:rsidRDefault="009772CA" w:rsidP="009772CA">
            <w:pPr>
              <w:spacing w:after="0" w:line="240" w:lineRule="auto"/>
              <w:contextualSpacing/>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 xml:space="preserve">N° de identificación del representante legal: </w:t>
            </w:r>
            <w:r w:rsidRPr="009772CA">
              <w:rPr>
                <w:rFonts w:ascii="Arial Narrow" w:eastAsia="Times New Roman" w:hAnsi="Arial Narrow" w:cs="Calibri"/>
                <w:i/>
                <w:color w:val="FF0000"/>
                <w:sz w:val="18"/>
                <w:szCs w:val="18"/>
                <w:lang w:eastAsia="es-ES"/>
              </w:rPr>
              <w:t>(cuando corresponda)</w:t>
            </w:r>
          </w:p>
          <w:p w:rsidR="009772CA" w:rsidRPr="009772CA" w:rsidRDefault="009772CA" w:rsidP="009772CA">
            <w:pPr>
              <w:spacing w:after="0" w:line="240" w:lineRule="auto"/>
              <w:contextualSpacing/>
              <w:rPr>
                <w:rFonts w:ascii="Arial Narrow" w:eastAsia="Times New Roman" w:hAnsi="Arial Narrow" w:cs="Calibri"/>
                <w:sz w:val="18"/>
                <w:szCs w:val="18"/>
                <w:lang w:eastAsia="es-ES"/>
              </w:rPr>
            </w:pPr>
          </w:p>
        </w:tc>
      </w:tr>
      <w:tr w:rsidR="009772CA" w:rsidRPr="009772CA" w:rsidTr="009772C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rPr>
                <w:rFonts w:ascii="Arial Narrow" w:eastAsia="Times New Roman" w:hAnsi="Arial Narrow" w:cs="Calibri"/>
                <w:b/>
                <w:color w:val="FFFFFF" w:themeColor="background1"/>
                <w:szCs w:val="18"/>
                <w:lang w:eastAsia="es-ES"/>
              </w:rPr>
            </w:pPr>
          </w:p>
        </w:tc>
        <w:tc>
          <w:tcPr>
            <w:tcW w:w="534"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10</w:t>
            </w:r>
          </w:p>
        </w:tc>
        <w:tc>
          <w:tcPr>
            <w:tcW w:w="8646" w:type="dxa"/>
            <w:gridSpan w:val="3"/>
            <w:tcBorders>
              <w:top w:val="single" w:sz="4" w:space="0" w:color="000000"/>
              <w:left w:val="single" w:sz="4" w:space="0" w:color="000000"/>
              <w:bottom w:val="single" w:sz="4" w:space="0" w:color="000000"/>
              <w:right w:val="single" w:sz="4" w:space="0" w:color="000000"/>
            </w:tcBorders>
            <w:hideMark/>
          </w:tcPr>
          <w:p w:rsidR="009772CA" w:rsidRPr="009772CA" w:rsidRDefault="009772CA" w:rsidP="009772CA">
            <w:pPr>
              <w:spacing w:after="0" w:line="240" w:lineRule="auto"/>
              <w:contextualSpacing/>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Infracción tipificada por artículo del Código de Normas y Procedimientos Tributarios: (</w:t>
            </w:r>
            <w:r w:rsidRPr="009772CA">
              <w:rPr>
                <w:rFonts w:ascii="Arial Narrow" w:eastAsia="Times New Roman" w:hAnsi="Arial Narrow" w:cs="Calibri"/>
                <w:i/>
                <w:color w:val="FF0000"/>
                <w:sz w:val="18"/>
                <w:szCs w:val="18"/>
                <w:lang w:eastAsia="es-ES"/>
              </w:rPr>
              <w:t>indicar artículo, párrafo, inciso según el caso</w:t>
            </w:r>
            <w:r w:rsidRPr="009772CA">
              <w:rPr>
                <w:rFonts w:ascii="Arial Narrow" w:eastAsia="Times New Roman" w:hAnsi="Arial Narrow" w:cs="Calibri"/>
                <w:sz w:val="18"/>
                <w:szCs w:val="18"/>
                <w:lang w:eastAsia="es-ES"/>
              </w:rPr>
              <w:t>)</w:t>
            </w:r>
          </w:p>
        </w:tc>
      </w:tr>
      <w:tr w:rsidR="009772CA" w:rsidRPr="009772CA" w:rsidTr="009772C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rPr>
                <w:rFonts w:ascii="Arial Narrow" w:eastAsia="Times New Roman" w:hAnsi="Arial Narrow" w:cs="Calibri"/>
                <w:b/>
                <w:color w:val="FFFFFF" w:themeColor="background1"/>
                <w:szCs w:val="18"/>
                <w:lang w:eastAsia="es-ES"/>
              </w:rPr>
            </w:pPr>
          </w:p>
        </w:tc>
        <w:tc>
          <w:tcPr>
            <w:tcW w:w="534"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11</w:t>
            </w:r>
          </w:p>
        </w:tc>
        <w:tc>
          <w:tcPr>
            <w:tcW w:w="4394" w:type="dxa"/>
            <w:tcBorders>
              <w:top w:val="single" w:sz="4" w:space="0" w:color="000000"/>
              <w:left w:val="single" w:sz="4" w:space="0" w:color="000000"/>
              <w:bottom w:val="single" w:sz="4" w:space="0" w:color="000000"/>
              <w:right w:val="single" w:sz="4" w:space="0" w:color="000000"/>
            </w:tcBorders>
            <w:hideMark/>
          </w:tcPr>
          <w:p w:rsidR="009772CA" w:rsidRPr="009772CA" w:rsidRDefault="009772CA" w:rsidP="009772CA">
            <w:pPr>
              <w:spacing w:after="0" w:line="240" w:lineRule="auto"/>
              <w:contextualSpacing/>
              <w:rPr>
                <w:rFonts w:ascii="Arial Narrow" w:eastAsia="Times New Roman" w:hAnsi="Arial Narrow" w:cs="Calibri"/>
                <w:i/>
                <w:color w:val="FF0000"/>
                <w:sz w:val="18"/>
                <w:szCs w:val="18"/>
                <w:lang w:eastAsia="es-ES"/>
              </w:rPr>
            </w:pPr>
            <w:r w:rsidRPr="009772CA">
              <w:rPr>
                <w:rFonts w:ascii="Arial Narrow" w:eastAsia="Times New Roman" w:hAnsi="Arial Narrow" w:cs="Calibri"/>
                <w:i/>
                <w:color w:val="FF0000"/>
                <w:sz w:val="18"/>
                <w:szCs w:val="18"/>
                <w:lang w:eastAsia="es-ES"/>
              </w:rPr>
              <w:t>Impuesto:  (cuando corresponda)</w:t>
            </w:r>
          </w:p>
        </w:tc>
        <w:tc>
          <w:tcPr>
            <w:tcW w:w="440"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12</w:t>
            </w:r>
          </w:p>
        </w:tc>
        <w:tc>
          <w:tcPr>
            <w:tcW w:w="3812" w:type="dxa"/>
            <w:tcBorders>
              <w:top w:val="single" w:sz="4" w:space="0" w:color="000000"/>
              <w:left w:val="single" w:sz="4" w:space="0" w:color="000000"/>
              <w:bottom w:val="single" w:sz="4" w:space="0" w:color="000000"/>
              <w:right w:val="single" w:sz="4" w:space="0" w:color="000000"/>
            </w:tcBorders>
            <w:hideMark/>
          </w:tcPr>
          <w:p w:rsidR="009772CA" w:rsidRPr="009772CA" w:rsidRDefault="009772CA" w:rsidP="009772CA">
            <w:pPr>
              <w:spacing w:after="0" w:line="240" w:lineRule="auto"/>
              <w:contextualSpacing/>
              <w:rPr>
                <w:rFonts w:ascii="Arial Narrow" w:eastAsia="Times New Roman" w:hAnsi="Arial Narrow" w:cs="Calibri"/>
                <w:i/>
                <w:color w:val="FF0000"/>
                <w:sz w:val="18"/>
                <w:szCs w:val="18"/>
                <w:lang w:eastAsia="es-ES"/>
              </w:rPr>
            </w:pPr>
            <w:r w:rsidRPr="009772CA">
              <w:rPr>
                <w:rFonts w:ascii="Arial Narrow" w:eastAsia="Times New Roman" w:hAnsi="Arial Narrow" w:cs="Calibri"/>
                <w:i/>
                <w:color w:val="FF0000"/>
                <w:sz w:val="18"/>
                <w:szCs w:val="18"/>
                <w:lang w:eastAsia="es-ES"/>
              </w:rPr>
              <w:t>Periodo: (cuando corresponda)</w:t>
            </w:r>
          </w:p>
        </w:tc>
      </w:tr>
      <w:tr w:rsidR="009772CA" w:rsidRPr="009772CA" w:rsidTr="009772C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rPr>
                <w:rFonts w:ascii="Arial Narrow" w:eastAsia="Times New Roman" w:hAnsi="Arial Narrow" w:cs="Calibri"/>
                <w:b/>
                <w:color w:val="FFFFFF" w:themeColor="background1"/>
                <w:szCs w:val="18"/>
                <w:lang w:eastAsia="es-ES"/>
              </w:rPr>
            </w:pPr>
          </w:p>
        </w:tc>
        <w:tc>
          <w:tcPr>
            <w:tcW w:w="534"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13</w:t>
            </w:r>
          </w:p>
        </w:tc>
        <w:tc>
          <w:tcPr>
            <w:tcW w:w="4394" w:type="dxa"/>
            <w:tcBorders>
              <w:top w:val="single" w:sz="4" w:space="0" w:color="000000"/>
              <w:left w:val="single" w:sz="4" w:space="0" w:color="000000"/>
              <w:bottom w:val="single" w:sz="4" w:space="0" w:color="000000"/>
              <w:right w:val="single" w:sz="4" w:space="0" w:color="000000"/>
            </w:tcBorders>
            <w:hideMark/>
          </w:tcPr>
          <w:p w:rsidR="009772CA" w:rsidRPr="009772CA" w:rsidRDefault="009772CA" w:rsidP="009772CA">
            <w:pPr>
              <w:spacing w:after="0" w:line="240" w:lineRule="auto"/>
              <w:contextualSpacing/>
              <w:rPr>
                <w:rFonts w:ascii="Arial Narrow" w:eastAsia="Times New Roman" w:hAnsi="Arial Narrow" w:cs="Calibri"/>
                <w:i/>
                <w:color w:val="FF0000"/>
                <w:sz w:val="18"/>
                <w:szCs w:val="18"/>
                <w:lang w:eastAsia="es-ES"/>
              </w:rPr>
            </w:pPr>
            <w:r w:rsidRPr="009772CA">
              <w:rPr>
                <w:rFonts w:ascii="Arial Narrow" w:eastAsia="Times New Roman" w:hAnsi="Arial Narrow" w:cs="Calibri"/>
                <w:i/>
                <w:color w:val="FF0000"/>
                <w:sz w:val="18"/>
                <w:szCs w:val="18"/>
                <w:lang w:eastAsia="es-ES"/>
              </w:rPr>
              <w:t>Monto base para el cálculo: (cuando corresponda)</w:t>
            </w:r>
          </w:p>
        </w:tc>
        <w:tc>
          <w:tcPr>
            <w:tcW w:w="440"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14</w:t>
            </w:r>
          </w:p>
        </w:tc>
        <w:tc>
          <w:tcPr>
            <w:tcW w:w="3812" w:type="dxa"/>
            <w:tcBorders>
              <w:top w:val="single" w:sz="4" w:space="0" w:color="000000"/>
              <w:left w:val="single" w:sz="4" w:space="0" w:color="000000"/>
              <w:bottom w:val="single" w:sz="4" w:space="0" w:color="000000"/>
              <w:right w:val="single" w:sz="4" w:space="0" w:color="000000"/>
            </w:tcBorders>
            <w:hideMark/>
          </w:tcPr>
          <w:p w:rsidR="009772CA" w:rsidRPr="009772CA" w:rsidRDefault="009772CA" w:rsidP="009772CA">
            <w:pPr>
              <w:spacing w:after="0" w:line="240" w:lineRule="auto"/>
              <w:contextualSpacing/>
              <w:rPr>
                <w:rFonts w:ascii="Arial Narrow" w:eastAsia="Times New Roman" w:hAnsi="Arial Narrow" w:cs="Calibri"/>
                <w:i/>
                <w:color w:val="FF0000"/>
                <w:sz w:val="18"/>
                <w:szCs w:val="18"/>
                <w:lang w:eastAsia="es-ES"/>
              </w:rPr>
            </w:pPr>
            <w:r w:rsidRPr="009772CA">
              <w:rPr>
                <w:rFonts w:ascii="Arial Narrow" w:eastAsia="Times New Roman" w:hAnsi="Arial Narrow" w:cs="Calibri"/>
                <w:i/>
                <w:color w:val="FF0000"/>
                <w:sz w:val="18"/>
                <w:szCs w:val="18"/>
                <w:lang w:eastAsia="es-ES"/>
              </w:rPr>
              <w:t>Monto sanción: (cuando corresponda)</w:t>
            </w:r>
          </w:p>
        </w:tc>
      </w:tr>
      <w:tr w:rsidR="009772CA" w:rsidRPr="009772CA" w:rsidTr="009772C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rPr>
                <w:rFonts w:ascii="Arial Narrow" w:eastAsia="Times New Roman" w:hAnsi="Arial Narrow" w:cs="Calibri"/>
                <w:b/>
                <w:color w:val="FFFFFF" w:themeColor="background1"/>
                <w:szCs w:val="18"/>
                <w:lang w:eastAsia="es-ES"/>
              </w:rPr>
            </w:pPr>
          </w:p>
        </w:tc>
        <w:tc>
          <w:tcPr>
            <w:tcW w:w="534"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15</w:t>
            </w:r>
          </w:p>
        </w:tc>
        <w:tc>
          <w:tcPr>
            <w:tcW w:w="4394" w:type="dxa"/>
            <w:tcBorders>
              <w:top w:val="single" w:sz="4" w:space="0" w:color="000000"/>
              <w:left w:val="single" w:sz="4" w:space="0" w:color="000000"/>
              <w:bottom w:val="single" w:sz="4" w:space="0" w:color="000000"/>
              <w:right w:val="single" w:sz="4" w:space="0" w:color="000000"/>
            </w:tcBorders>
            <w:hideMark/>
          </w:tcPr>
          <w:p w:rsidR="009772CA" w:rsidRPr="009772CA" w:rsidRDefault="009772CA" w:rsidP="009772CA">
            <w:pPr>
              <w:spacing w:after="0" w:line="240" w:lineRule="auto"/>
              <w:contextualSpacing/>
              <w:rPr>
                <w:rFonts w:ascii="Arial Narrow" w:eastAsia="Times New Roman" w:hAnsi="Arial Narrow" w:cs="Calibri"/>
                <w:i/>
                <w:color w:val="FF0000"/>
                <w:sz w:val="18"/>
                <w:szCs w:val="18"/>
                <w:lang w:eastAsia="es-ES"/>
              </w:rPr>
            </w:pPr>
            <w:r w:rsidRPr="009772CA">
              <w:rPr>
                <w:rFonts w:ascii="Arial Narrow" w:eastAsia="Times New Roman" w:hAnsi="Arial Narrow" w:cs="Calibri"/>
                <w:i/>
                <w:color w:val="FF0000"/>
                <w:sz w:val="18"/>
                <w:szCs w:val="18"/>
                <w:lang w:eastAsia="es-ES"/>
              </w:rPr>
              <w:t>Requerimiento N°:  (cuando corresponda)</w:t>
            </w:r>
          </w:p>
        </w:tc>
        <w:tc>
          <w:tcPr>
            <w:tcW w:w="440" w:type="dxa"/>
            <w:tcBorders>
              <w:top w:val="single" w:sz="4" w:space="0" w:color="000000"/>
              <w:left w:val="single" w:sz="4" w:space="0" w:color="000000"/>
              <w:bottom w:val="single" w:sz="4" w:space="0" w:color="000000"/>
              <w:right w:val="single" w:sz="4" w:space="0" w:color="000000"/>
            </w:tcBorders>
            <w:shd w:val="clear" w:color="auto" w:fill="92CDDC"/>
            <w:vAlign w:val="center"/>
            <w:hideMark/>
          </w:tcPr>
          <w:p w:rsidR="009772CA" w:rsidRPr="009772CA" w:rsidRDefault="009772CA" w:rsidP="009772CA">
            <w:pPr>
              <w:spacing w:after="0" w:line="240" w:lineRule="auto"/>
              <w:contextualSpacing/>
              <w:jc w:val="center"/>
              <w:rPr>
                <w:rFonts w:ascii="Arial Narrow" w:eastAsia="Times New Roman" w:hAnsi="Arial Narrow" w:cs="Calibri"/>
                <w:b/>
                <w:sz w:val="18"/>
                <w:szCs w:val="18"/>
                <w:lang w:eastAsia="es-ES"/>
              </w:rPr>
            </w:pPr>
            <w:r w:rsidRPr="009772CA">
              <w:rPr>
                <w:rFonts w:ascii="Arial Narrow" w:eastAsia="Times New Roman" w:hAnsi="Arial Narrow" w:cs="Calibri"/>
                <w:b/>
                <w:sz w:val="18"/>
                <w:szCs w:val="18"/>
                <w:lang w:eastAsia="es-ES"/>
              </w:rPr>
              <w:t>16</w:t>
            </w:r>
          </w:p>
        </w:tc>
        <w:tc>
          <w:tcPr>
            <w:tcW w:w="3812" w:type="dxa"/>
            <w:tcBorders>
              <w:top w:val="single" w:sz="4" w:space="0" w:color="000000"/>
              <w:left w:val="single" w:sz="4" w:space="0" w:color="000000"/>
              <w:bottom w:val="single" w:sz="4" w:space="0" w:color="000000"/>
              <w:right w:val="single" w:sz="4" w:space="0" w:color="000000"/>
            </w:tcBorders>
            <w:hideMark/>
          </w:tcPr>
          <w:p w:rsidR="009772CA" w:rsidRPr="009772CA" w:rsidRDefault="009772CA" w:rsidP="009772CA">
            <w:pPr>
              <w:spacing w:after="0" w:line="240" w:lineRule="auto"/>
              <w:contextualSpacing/>
              <w:rPr>
                <w:rFonts w:ascii="Arial Narrow" w:eastAsia="Times New Roman" w:hAnsi="Arial Narrow" w:cs="Calibri"/>
                <w:color w:val="FF0000"/>
                <w:sz w:val="18"/>
                <w:szCs w:val="18"/>
                <w:lang w:eastAsia="es-ES"/>
              </w:rPr>
            </w:pPr>
            <w:r w:rsidRPr="009772CA">
              <w:rPr>
                <w:rFonts w:ascii="Arial Narrow" w:eastAsia="Times New Roman" w:hAnsi="Arial Narrow" w:cs="Calibri"/>
                <w:color w:val="FF0000"/>
                <w:sz w:val="18"/>
                <w:szCs w:val="18"/>
                <w:lang w:eastAsia="es-ES"/>
              </w:rPr>
              <w:t xml:space="preserve">Expediente sancionatorio N°: </w:t>
            </w:r>
            <w:r w:rsidRPr="009772CA">
              <w:rPr>
                <w:rFonts w:ascii="Arial Narrow" w:eastAsia="Times New Roman" w:hAnsi="Arial Narrow" w:cs="Calibri"/>
                <w:i/>
                <w:color w:val="FF0000"/>
                <w:sz w:val="18"/>
                <w:szCs w:val="18"/>
                <w:lang w:eastAsia="es-ES"/>
              </w:rPr>
              <w:t>(cuando corresponda)</w:t>
            </w:r>
          </w:p>
        </w:tc>
      </w:tr>
      <w:tr w:rsidR="009772CA" w:rsidRPr="009772CA" w:rsidTr="009772C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rPr>
                <w:rFonts w:ascii="Arial Narrow" w:eastAsia="Times New Roman" w:hAnsi="Arial Narrow" w:cs="Calibri"/>
                <w:b/>
                <w:color w:val="FFFFFF" w:themeColor="background1"/>
                <w:szCs w:val="18"/>
                <w:lang w:eastAsia="es-ES"/>
              </w:rPr>
            </w:pPr>
          </w:p>
        </w:tc>
        <w:tc>
          <w:tcPr>
            <w:tcW w:w="9180" w:type="dxa"/>
            <w:gridSpan w:val="4"/>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contextualSpacing/>
              <w:jc w:val="both"/>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El presente documento constituye la propuesta motivada establecida en el artículo 150 del Código de Normas y Procedimientos Tributarios, mediante la cual se inicia procedimiento sancionador contra el obligado tributario arriba indicado, en vista de los hechos que se exponen a continuación:</w:t>
            </w:r>
          </w:p>
        </w:tc>
      </w:tr>
      <w:tr w:rsidR="009772CA" w:rsidRPr="009772CA" w:rsidTr="009772CA">
        <w:trPr>
          <w:cantSplit/>
          <w:trHeight w:val="1134"/>
        </w:trPr>
        <w:tc>
          <w:tcPr>
            <w:tcW w:w="534"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textDirection w:val="btLr"/>
            <w:vAlign w:val="center"/>
            <w:hideMark/>
          </w:tcPr>
          <w:p w:rsidR="009772CA" w:rsidRPr="009772CA" w:rsidRDefault="009772CA" w:rsidP="009772CA">
            <w:pPr>
              <w:spacing w:after="0"/>
              <w:jc w:val="center"/>
              <w:rPr>
                <w:rFonts w:ascii="Arial Narrow" w:eastAsia="Times New Roman" w:hAnsi="Arial Narrow" w:cs="Calibri"/>
                <w:b/>
                <w:color w:val="FFFFFF" w:themeColor="background1"/>
                <w:szCs w:val="18"/>
                <w:lang w:eastAsia="es-ES"/>
              </w:rPr>
            </w:pPr>
            <w:r w:rsidRPr="009772CA">
              <w:rPr>
                <w:rFonts w:ascii="Arial Narrow" w:eastAsia="Times New Roman" w:hAnsi="Arial Narrow" w:cs="Calibri"/>
                <w:b/>
                <w:color w:val="FFFFFF" w:themeColor="background1"/>
                <w:szCs w:val="18"/>
                <w:lang w:eastAsia="es-ES"/>
              </w:rPr>
              <w:t>SEGUNDA PARTE</w:t>
            </w:r>
          </w:p>
        </w:tc>
        <w:tc>
          <w:tcPr>
            <w:tcW w:w="9180" w:type="dxa"/>
            <w:gridSpan w:val="4"/>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numPr>
                <w:ilvl w:val="0"/>
                <w:numId w:val="3"/>
              </w:numPr>
              <w:spacing w:after="0"/>
              <w:ind w:left="317" w:hanging="284"/>
              <w:contextualSpacing/>
              <w:jc w:val="both"/>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Según consta en expediente N°… (</w:t>
            </w:r>
            <w:r w:rsidRPr="009772CA">
              <w:rPr>
                <w:rFonts w:ascii="Arial Narrow" w:eastAsia="Times New Roman" w:hAnsi="Arial Narrow" w:cs="Calibri"/>
                <w:i/>
                <w:color w:val="FF0000"/>
                <w:sz w:val="18"/>
                <w:szCs w:val="18"/>
                <w:lang w:eastAsia="es-ES"/>
              </w:rPr>
              <w:t>indicar hechos constitutivos de la infracción y folios dónde constan</w:t>
            </w:r>
            <w:r w:rsidRPr="009772CA">
              <w:rPr>
                <w:rFonts w:ascii="Arial Narrow" w:eastAsia="Times New Roman" w:hAnsi="Arial Narrow" w:cs="Calibri"/>
                <w:sz w:val="18"/>
                <w:szCs w:val="18"/>
                <w:lang w:eastAsia="es-ES"/>
              </w:rPr>
              <w:t>)</w:t>
            </w:r>
          </w:p>
          <w:p w:rsidR="009772CA" w:rsidRPr="009772CA" w:rsidRDefault="009772CA" w:rsidP="009772CA">
            <w:pPr>
              <w:numPr>
                <w:ilvl w:val="0"/>
                <w:numId w:val="3"/>
              </w:numPr>
              <w:spacing w:after="0"/>
              <w:ind w:left="317" w:hanging="284"/>
              <w:contextualSpacing/>
              <w:jc w:val="both"/>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De conformidad con los hechos expuestos y en apego a lo establecido en la norma indicada en la casilla 8, lo procedente es recomendar la aplicación de la sanción correspondiente a (</w:t>
            </w:r>
            <w:r w:rsidRPr="009772CA">
              <w:rPr>
                <w:rFonts w:ascii="Arial Narrow" w:eastAsia="Times New Roman" w:hAnsi="Arial Narrow" w:cs="Calibri"/>
                <w:i/>
                <w:color w:val="FF0000"/>
                <w:sz w:val="18"/>
                <w:szCs w:val="18"/>
                <w:lang w:eastAsia="es-ES"/>
              </w:rPr>
              <w:t>indicar el nombre de la infracción</w:t>
            </w:r>
            <w:r w:rsidRPr="009772CA">
              <w:rPr>
                <w:rFonts w:ascii="Arial Narrow" w:eastAsia="Times New Roman" w:hAnsi="Arial Narrow" w:cs="Calibri"/>
                <w:sz w:val="18"/>
                <w:szCs w:val="18"/>
                <w:lang w:eastAsia="es-ES"/>
              </w:rPr>
              <w:t>), consistente en (</w:t>
            </w:r>
            <w:r w:rsidRPr="009772CA">
              <w:rPr>
                <w:rFonts w:ascii="Arial Narrow" w:eastAsia="Times New Roman" w:hAnsi="Arial Narrow" w:cs="Calibri"/>
                <w:i/>
                <w:color w:val="FF0000"/>
                <w:sz w:val="18"/>
                <w:szCs w:val="18"/>
                <w:lang w:eastAsia="es-ES"/>
              </w:rPr>
              <w:t>indicar cuál es la sanción</w:t>
            </w:r>
            <w:r w:rsidRPr="009772CA">
              <w:rPr>
                <w:rFonts w:ascii="Arial Narrow" w:eastAsia="Times New Roman" w:hAnsi="Arial Narrow" w:cs="Calibri"/>
                <w:sz w:val="18"/>
                <w:szCs w:val="18"/>
                <w:lang w:eastAsia="es-ES"/>
              </w:rPr>
              <w:t>)</w:t>
            </w:r>
          </w:p>
          <w:p w:rsidR="009772CA" w:rsidRPr="009772CA" w:rsidRDefault="009772CA" w:rsidP="009772CA">
            <w:pPr>
              <w:numPr>
                <w:ilvl w:val="0"/>
                <w:numId w:val="3"/>
              </w:numPr>
              <w:spacing w:after="0"/>
              <w:ind w:left="317" w:hanging="284"/>
              <w:contextualSpacing/>
              <w:jc w:val="both"/>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w:t>
            </w:r>
            <w:r w:rsidRPr="009772CA">
              <w:rPr>
                <w:rFonts w:ascii="Arial Narrow" w:eastAsia="Times New Roman" w:hAnsi="Arial Narrow" w:cs="Calibri"/>
                <w:i/>
                <w:color w:val="FF0000"/>
                <w:sz w:val="18"/>
                <w:szCs w:val="18"/>
                <w:lang w:eastAsia="es-ES"/>
              </w:rPr>
              <w:t>Indicar si hay supuestos de reducción según art. 88</w:t>
            </w:r>
            <w:r w:rsidRPr="009772CA">
              <w:rPr>
                <w:rFonts w:ascii="Arial Narrow" w:eastAsia="Times New Roman" w:hAnsi="Arial Narrow" w:cs="Calibri"/>
                <w:sz w:val="18"/>
                <w:szCs w:val="18"/>
                <w:lang w:eastAsia="es-ES"/>
              </w:rPr>
              <w:t>)</w:t>
            </w:r>
          </w:p>
        </w:tc>
      </w:tr>
      <w:tr w:rsidR="009772CA" w:rsidRPr="009772CA" w:rsidTr="009772CA">
        <w:tc>
          <w:tcPr>
            <w:tcW w:w="534" w:type="dxa"/>
            <w:vMerge w:val="restart"/>
            <w:tcBorders>
              <w:top w:val="single" w:sz="4" w:space="0" w:color="000000"/>
              <w:left w:val="single" w:sz="4" w:space="0" w:color="000000"/>
              <w:bottom w:val="single" w:sz="4" w:space="0" w:color="000000"/>
              <w:right w:val="single" w:sz="4" w:space="0" w:color="000000"/>
            </w:tcBorders>
            <w:shd w:val="clear" w:color="auto" w:fill="76923C" w:themeFill="accent3" w:themeFillShade="BF"/>
            <w:textDirection w:val="btLr"/>
            <w:vAlign w:val="center"/>
            <w:hideMark/>
          </w:tcPr>
          <w:p w:rsidR="009772CA" w:rsidRPr="009772CA" w:rsidRDefault="009772CA" w:rsidP="009772CA">
            <w:pPr>
              <w:spacing w:after="0"/>
              <w:jc w:val="center"/>
              <w:rPr>
                <w:rFonts w:ascii="Arial Narrow" w:eastAsia="Times New Roman" w:hAnsi="Arial Narrow" w:cs="Calibri"/>
                <w:b/>
                <w:color w:val="FFFFFF" w:themeColor="background1"/>
                <w:szCs w:val="18"/>
                <w:lang w:eastAsia="es-ES"/>
              </w:rPr>
            </w:pPr>
            <w:r w:rsidRPr="009772CA">
              <w:rPr>
                <w:rFonts w:ascii="Arial Narrow" w:eastAsia="Times New Roman" w:hAnsi="Arial Narrow" w:cs="Calibri"/>
                <w:b/>
                <w:color w:val="FFFFFF" w:themeColor="background1"/>
                <w:szCs w:val="18"/>
                <w:lang w:eastAsia="es-ES"/>
              </w:rPr>
              <w:t>TERCERA PARTE</w:t>
            </w:r>
          </w:p>
        </w:tc>
        <w:tc>
          <w:tcPr>
            <w:tcW w:w="9180" w:type="dxa"/>
            <w:gridSpan w:val="4"/>
            <w:tcBorders>
              <w:top w:val="single" w:sz="4" w:space="0" w:color="000000"/>
              <w:left w:val="single" w:sz="4" w:space="0" w:color="000000"/>
              <w:bottom w:val="single" w:sz="4" w:space="0" w:color="000000"/>
              <w:right w:val="single" w:sz="4" w:space="0" w:color="000000"/>
            </w:tcBorders>
            <w:vAlign w:val="center"/>
          </w:tcPr>
          <w:p w:rsidR="009772CA" w:rsidRPr="009772CA" w:rsidRDefault="009772CA" w:rsidP="009772CA">
            <w:pPr>
              <w:spacing w:after="0"/>
              <w:jc w:val="both"/>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Dentro del plazo improrrogable de diez días hábiles siguientes a la notificación de la presente propuesta motivada, puede el obligado tributario presentar los alegatos y pruebas que considere pertinentes, de conformidad con lo establecido en los artículos 150, 171 inciso 12) y 186 del Código de Normas y Procedimientos Tributarios y señalar lugar o medio para atender futuras notificaciones.</w:t>
            </w:r>
          </w:p>
          <w:p w:rsidR="009772CA" w:rsidRPr="009772CA" w:rsidRDefault="009772CA" w:rsidP="009772CA">
            <w:pPr>
              <w:spacing w:after="0"/>
              <w:jc w:val="both"/>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 xml:space="preserve"> El expediente sancionador en que se respalda la constatación de la</w:t>
            </w:r>
            <w:r w:rsidRPr="009772CA">
              <w:rPr>
                <w:rFonts w:ascii="Arial Narrow" w:eastAsia="Times New Roman" w:hAnsi="Arial Narrow" w:cs="Calibri"/>
                <w:color w:val="FF0000"/>
                <w:sz w:val="18"/>
                <w:szCs w:val="18"/>
                <w:lang w:eastAsia="es-ES"/>
              </w:rPr>
              <w:t xml:space="preserve"> </w:t>
            </w:r>
            <w:r w:rsidRPr="009772CA">
              <w:rPr>
                <w:rFonts w:ascii="Arial Narrow" w:eastAsia="Times New Roman" w:hAnsi="Arial Narrow" w:cs="Calibri"/>
                <w:sz w:val="18"/>
                <w:szCs w:val="18"/>
                <w:lang w:eastAsia="es-ES"/>
              </w:rPr>
              <w:t xml:space="preserve">infracción cometida y la consecuente sanción recomendada, puede ser consultado en esta Administración, en </w:t>
            </w:r>
            <w:r w:rsidRPr="009772CA">
              <w:rPr>
                <w:rFonts w:ascii="Arial Narrow" w:eastAsia="Times New Roman" w:hAnsi="Arial Narrow" w:cs="Calibri"/>
                <w:i/>
                <w:color w:val="FF0000"/>
                <w:sz w:val="18"/>
                <w:szCs w:val="18"/>
                <w:lang w:eastAsia="es-ES"/>
              </w:rPr>
              <w:t>(indicar oficina a cargo)</w:t>
            </w:r>
          </w:p>
          <w:p w:rsidR="009772CA" w:rsidRPr="009772CA" w:rsidRDefault="009772CA" w:rsidP="009772CA">
            <w:pPr>
              <w:spacing w:after="0" w:line="240" w:lineRule="auto"/>
              <w:contextualSpacing/>
              <w:jc w:val="both"/>
              <w:rPr>
                <w:rFonts w:ascii="Arial Narrow" w:eastAsia="Times New Roman" w:hAnsi="Arial Narrow" w:cs="Calibri"/>
                <w:sz w:val="18"/>
                <w:szCs w:val="18"/>
                <w:lang w:eastAsia="es-ES"/>
              </w:rPr>
            </w:pPr>
          </w:p>
        </w:tc>
      </w:tr>
      <w:tr w:rsidR="009772CA" w:rsidRPr="009772CA" w:rsidTr="009772C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72CA" w:rsidRPr="009772CA" w:rsidRDefault="009772CA" w:rsidP="009772CA">
            <w:pPr>
              <w:spacing w:after="0" w:line="240" w:lineRule="auto"/>
              <w:rPr>
                <w:rFonts w:ascii="Arial Narrow" w:eastAsia="Times New Roman" w:hAnsi="Arial Narrow" w:cs="Calibri"/>
                <w:b/>
                <w:color w:val="FFFFFF" w:themeColor="background1"/>
                <w:szCs w:val="18"/>
                <w:lang w:eastAsia="es-ES"/>
              </w:rPr>
            </w:pPr>
          </w:p>
        </w:tc>
        <w:tc>
          <w:tcPr>
            <w:tcW w:w="9180" w:type="dxa"/>
            <w:gridSpan w:val="4"/>
            <w:tcBorders>
              <w:top w:val="single" w:sz="4" w:space="0" w:color="000000"/>
              <w:left w:val="single" w:sz="4" w:space="0" w:color="000000"/>
              <w:bottom w:val="single" w:sz="4" w:space="0" w:color="000000"/>
              <w:right w:val="single" w:sz="4" w:space="0" w:color="000000"/>
            </w:tcBorders>
            <w:vAlign w:val="center"/>
          </w:tcPr>
          <w:p w:rsidR="009772CA" w:rsidRPr="009772CA" w:rsidRDefault="009772CA" w:rsidP="009772CA">
            <w:pPr>
              <w:spacing w:after="0" w:line="240" w:lineRule="auto"/>
              <w:contextualSpacing/>
              <w:jc w:val="center"/>
              <w:rPr>
                <w:rFonts w:ascii="Arial Narrow" w:eastAsia="Times New Roman" w:hAnsi="Arial Narrow" w:cs="Calibri"/>
                <w:b/>
                <w:i/>
                <w:color w:val="FF0000"/>
                <w:sz w:val="18"/>
                <w:szCs w:val="18"/>
                <w:lang w:eastAsia="es-ES"/>
              </w:rPr>
            </w:pPr>
            <w:r w:rsidRPr="009772CA">
              <w:rPr>
                <w:rFonts w:ascii="Arial Narrow" w:eastAsia="Times New Roman" w:hAnsi="Arial Narrow" w:cs="Calibri"/>
                <w:b/>
                <w:i/>
                <w:color w:val="FF0000"/>
                <w:sz w:val="18"/>
                <w:szCs w:val="18"/>
                <w:lang w:eastAsia="es-ES"/>
              </w:rPr>
              <w:t>(Nombre y firma del gestor)</w:t>
            </w:r>
          </w:p>
          <w:p w:rsidR="009772CA" w:rsidRPr="009772CA" w:rsidRDefault="009772CA" w:rsidP="009772CA">
            <w:pPr>
              <w:spacing w:after="0" w:line="240" w:lineRule="auto"/>
              <w:contextualSpacing/>
              <w:jc w:val="center"/>
              <w:rPr>
                <w:rFonts w:ascii="Arial Narrow" w:eastAsia="Times New Roman" w:hAnsi="Arial Narrow" w:cs="Calibri"/>
                <w:sz w:val="18"/>
                <w:szCs w:val="18"/>
                <w:lang w:eastAsia="es-ES"/>
              </w:rPr>
            </w:pPr>
          </w:p>
          <w:p w:rsidR="009772CA" w:rsidRPr="009772CA" w:rsidRDefault="009772CA" w:rsidP="009772CA">
            <w:pPr>
              <w:spacing w:after="0"/>
              <w:jc w:val="both"/>
              <w:rPr>
                <w:rFonts w:ascii="Arial Narrow" w:eastAsia="Times New Roman" w:hAnsi="Arial Narrow" w:cs="Calibri"/>
                <w:sz w:val="18"/>
                <w:szCs w:val="18"/>
                <w:lang w:eastAsia="es-ES"/>
              </w:rPr>
            </w:pPr>
            <w:r w:rsidRPr="009772CA">
              <w:rPr>
                <w:rFonts w:ascii="Arial Narrow" w:eastAsia="Times New Roman" w:hAnsi="Arial Narrow" w:cs="Calibri"/>
                <w:sz w:val="18"/>
                <w:szCs w:val="18"/>
                <w:lang w:eastAsia="es-ES"/>
              </w:rPr>
              <w:t>c.c. Sugerente de (</w:t>
            </w:r>
            <w:r w:rsidRPr="009772CA">
              <w:rPr>
                <w:rFonts w:ascii="Arial Narrow" w:eastAsia="Times New Roman" w:hAnsi="Arial Narrow" w:cs="Calibri"/>
                <w:i/>
                <w:color w:val="FF0000"/>
                <w:sz w:val="18"/>
                <w:szCs w:val="18"/>
                <w:lang w:eastAsia="es-ES"/>
              </w:rPr>
              <w:t>Indicar área</w:t>
            </w:r>
            <w:r w:rsidRPr="009772CA">
              <w:rPr>
                <w:rFonts w:ascii="Arial Narrow" w:eastAsia="Times New Roman" w:hAnsi="Arial Narrow" w:cs="Calibri"/>
                <w:sz w:val="18"/>
                <w:szCs w:val="18"/>
                <w:lang w:eastAsia="es-ES"/>
              </w:rPr>
              <w:t>)</w:t>
            </w:r>
          </w:p>
        </w:tc>
      </w:tr>
    </w:tbl>
    <w:p w:rsidR="009772CA" w:rsidRPr="009772CA" w:rsidRDefault="009772CA" w:rsidP="009772CA">
      <w:pPr>
        <w:spacing w:after="0" w:line="240" w:lineRule="auto"/>
        <w:rPr>
          <w:rFonts w:ascii="Arial Narrow" w:eastAsiaTheme="minorEastAsia" w:hAnsi="Arial Narrow"/>
          <w:sz w:val="20"/>
          <w:szCs w:val="20"/>
          <w:lang w:val="es-CR" w:eastAsia="es-ES"/>
        </w:rPr>
      </w:pPr>
    </w:p>
    <w:p w:rsidR="009F4472" w:rsidRPr="009772CA" w:rsidRDefault="009F4472">
      <w:pPr>
        <w:rPr>
          <w:lang w:val="es-CR"/>
        </w:rPr>
      </w:pPr>
      <w:bookmarkStart w:id="0" w:name="_GoBack"/>
      <w:bookmarkEnd w:id="0"/>
    </w:p>
    <w:sectPr w:rsidR="009F4472" w:rsidRPr="009772C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BBD"/>
    <w:multiLevelType w:val="hybridMultilevel"/>
    <w:tmpl w:val="0C7A10A4"/>
    <w:lvl w:ilvl="0" w:tplc="140A0001">
      <w:start w:val="1"/>
      <w:numFmt w:val="bullet"/>
      <w:lvlText w:val=""/>
      <w:lvlJc w:val="left"/>
      <w:pPr>
        <w:ind w:left="1854" w:hanging="360"/>
      </w:pPr>
      <w:rPr>
        <w:rFonts w:ascii="Symbol" w:hAnsi="Symbol" w:hint="default"/>
      </w:rPr>
    </w:lvl>
    <w:lvl w:ilvl="1" w:tplc="140A0003">
      <w:start w:val="1"/>
      <w:numFmt w:val="bullet"/>
      <w:lvlText w:val="o"/>
      <w:lvlJc w:val="left"/>
      <w:pPr>
        <w:ind w:left="2574" w:hanging="360"/>
      </w:pPr>
      <w:rPr>
        <w:rFonts w:ascii="Courier New" w:hAnsi="Courier New" w:cs="Courier New" w:hint="default"/>
      </w:rPr>
    </w:lvl>
    <w:lvl w:ilvl="2" w:tplc="140A0005">
      <w:start w:val="1"/>
      <w:numFmt w:val="bullet"/>
      <w:lvlText w:val=""/>
      <w:lvlJc w:val="left"/>
      <w:pPr>
        <w:ind w:left="3294" w:hanging="360"/>
      </w:pPr>
      <w:rPr>
        <w:rFonts w:ascii="Wingdings" w:hAnsi="Wingdings" w:hint="default"/>
      </w:rPr>
    </w:lvl>
    <w:lvl w:ilvl="3" w:tplc="140A0001">
      <w:start w:val="1"/>
      <w:numFmt w:val="bullet"/>
      <w:lvlText w:val=""/>
      <w:lvlJc w:val="left"/>
      <w:pPr>
        <w:ind w:left="4014" w:hanging="360"/>
      </w:pPr>
      <w:rPr>
        <w:rFonts w:ascii="Symbol" w:hAnsi="Symbol" w:hint="default"/>
      </w:rPr>
    </w:lvl>
    <w:lvl w:ilvl="4" w:tplc="140A0003">
      <w:start w:val="1"/>
      <w:numFmt w:val="bullet"/>
      <w:lvlText w:val="o"/>
      <w:lvlJc w:val="left"/>
      <w:pPr>
        <w:ind w:left="4734" w:hanging="360"/>
      </w:pPr>
      <w:rPr>
        <w:rFonts w:ascii="Courier New" w:hAnsi="Courier New" w:cs="Courier New" w:hint="default"/>
      </w:rPr>
    </w:lvl>
    <w:lvl w:ilvl="5" w:tplc="140A0005">
      <w:start w:val="1"/>
      <w:numFmt w:val="bullet"/>
      <w:lvlText w:val=""/>
      <w:lvlJc w:val="left"/>
      <w:pPr>
        <w:ind w:left="5454" w:hanging="360"/>
      </w:pPr>
      <w:rPr>
        <w:rFonts w:ascii="Wingdings" w:hAnsi="Wingdings" w:hint="default"/>
      </w:rPr>
    </w:lvl>
    <w:lvl w:ilvl="6" w:tplc="140A0001">
      <w:start w:val="1"/>
      <w:numFmt w:val="bullet"/>
      <w:lvlText w:val=""/>
      <w:lvlJc w:val="left"/>
      <w:pPr>
        <w:ind w:left="6174" w:hanging="360"/>
      </w:pPr>
      <w:rPr>
        <w:rFonts w:ascii="Symbol" w:hAnsi="Symbol" w:hint="default"/>
      </w:rPr>
    </w:lvl>
    <w:lvl w:ilvl="7" w:tplc="140A0003">
      <w:start w:val="1"/>
      <w:numFmt w:val="bullet"/>
      <w:lvlText w:val="o"/>
      <w:lvlJc w:val="left"/>
      <w:pPr>
        <w:ind w:left="6894" w:hanging="360"/>
      </w:pPr>
      <w:rPr>
        <w:rFonts w:ascii="Courier New" w:hAnsi="Courier New" w:cs="Courier New" w:hint="default"/>
      </w:rPr>
    </w:lvl>
    <w:lvl w:ilvl="8" w:tplc="140A0005">
      <w:start w:val="1"/>
      <w:numFmt w:val="bullet"/>
      <w:lvlText w:val=""/>
      <w:lvlJc w:val="left"/>
      <w:pPr>
        <w:ind w:left="7614" w:hanging="360"/>
      </w:pPr>
      <w:rPr>
        <w:rFonts w:ascii="Wingdings" w:hAnsi="Wingdings" w:hint="default"/>
      </w:rPr>
    </w:lvl>
  </w:abstractNum>
  <w:abstractNum w:abstractNumId="1">
    <w:nsid w:val="11052DE8"/>
    <w:multiLevelType w:val="hybridMultilevel"/>
    <w:tmpl w:val="99BC382C"/>
    <w:lvl w:ilvl="0" w:tplc="624EBC5C">
      <w:start w:val="1"/>
      <w:numFmt w:val="upperRoman"/>
      <w:lvlText w:val="%1."/>
      <w:lvlJc w:val="left"/>
      <w:pPr>
        <w:ind w:left="720" w:hanging="360"/>
      </w:pPr>
      <w:rPr>
        <w:sz w:val="24"/>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2">
    <w:nsid w:val="4C727B2E"/>
    <w:multiLevelType w:val="hybridMultilevel"/>
    <w:tmpl w:val="CEF896B0"/>
    <w:lvl w:ilvl="0" w:tplc="140A000F">
      <w:start w:val="1"/>
      <w:numFmt w:val="decimal"/>
      <w:lvlText w:val="%1."/>
      <w:lvlJc w:val="left"/>
      <w:pPr>
        <w:ind w:left="720" w:hanging="360"/>
      </w:p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2CA"/>
    <w:rsid w:val="009772CA"/>
    <w:rsid w:val="009F44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9772CA"/>
    <w:pPr>
      <w:spacing w:after="0" w:line="240" w:lineRule="auto"/>
      <w:jc w:val="both"/>
    </w:pPr>
    <w:rPr>
      <w:rFonts w:ascii="Times New Roman" w:eastAsia="Times New Roman" w:hAnsi="Times New Roman" w:cs="Times New Roman"/>
      <w:sz w:val="24"/>
      <w:szCs w:val="20"/>
      <w:lang w:eastAsia="es-ES"/>
    </w:rPr>
  </w:style>
  <w:style w:type="character" w:customStyle="1" w:styleId="TextoindependienteCar">
    <w:name w:val="Texto independiente Car"/>
    <w:basedOn w:val="Fuentedeprrafopredeter"/>
    <w:link w:val="Textoindependiente"/>
    <w:uiPriority w:val="99"/>
    <w:semiHidden/>
    <w:rsid w:val="009772CA"/>
    <w:rPr>
      <w:rFonts w:ascii="Times New Roman" w:eastAsia="Times New Roman" w:hAnsi="Times New Roman" w:cs="Times New Roman"/>
      <w:sz w:val="24"/>
      <w:szCs w:val="20"/>
      <w:lang w:eastAsia="es-ES"/>
    </w:rPr>
  </w:style>
  <w:style w:type="paragraph" w:styleId="Prrafodelista">
    <w:name w:val="List Paragraph"/>
    <w:basedOn w:val="Normal"/>
    <w:uiPriority w:val="34"/>
    <w:qFormat/>
    <w:rsid w:val="009772CA"/>
    <w:pPr>
      <w:spacing w:after="0" w:line="240" w:lineRule="auto"/>
      <w:ind w:left="708"/>
    </w:pPr>
    <w:rPr>
      <w:rFonts w:ascii="Times New Roman" w:eastAsia="Times New Roman" w:hAnsi="Times New Roman" w:cs="Times New Roman"/>
      <w:sz w:val="24"/>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9772CA"/>
    <w:pPr>
      <w:spacing w:after="0" w:line="240" w:lineRule="auto"/>
      <w:jc w:val="both"/>
    </w:pPr>
    <w:rPr>
      <w:rFonts w:ascii="Times New Roman" w:eastAsia="Times New Roman" w:hAnsi="Times New Roman" w:cs="Times New Roman"/>
      <w:sz w:val="24"/>
      <w:szCs w:val="20"/>
      <w:lang w:eastAsia="es-ES"/>
    </w:rPr>
  </w:style>
  <w:style w:type="character" w:customStyle="1" w:styleId="TextoindependienteCar">
    <w:name w:val="Texto independiente Car"/>
    <w:basedOn w:val="Fuentedeprrafopredeter"/>
    <w:link w:val="Textoindependiente"/>
    <w:uiPriority w:val="99"/>
    <w:semiHidden/>
    <w:rsid w:val="009772CA"/>
    <w:rPr>
      <w:rFonts w:ascii="Times New Roman" w:eastAsia="Times New Roman" w:hAnsi="Times New Roman" w:cs="Times New Roman"/>
      <w:sz w:val="24"/>
      <w:szCs w:val="20"/>
      <w:lang w:eastAsia="es-ES"/>
    </w:rPr>
  </w:style>
  <w:style w:type="paragraph" w:styleId="Prrafodelista">
    <w:name w:val="List Paragraph"/>
    <w:basedOn w:val="Normal"/>
    <w:uiPriority w:val="34"/>
    <w:qFormat/>
    <w:rsid w:val="009772CA"/>
    <w:pPr>
      <w:spacing w:after="0" w:line="240" w:lineRule="auto"/>
      <w:ind w:left="708"/>
    </w:pPr>
    <w:rPr>
      <w:rFonts w:ascii="Times New Roman" w:eastAsia="Times New Roman" w:hAnsi="Times New Roman" w:cs="Times New Roman"/>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90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1485</Words>
  <Characters>8170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Harold Quesada Hernandez</dc:creator>
  <cp:lastModifiedBy>Harold Quesada Hernandez</cp:lastModifiedBy>
  <cp:revision>1</cp:revision>
  <dcterms:created xsi:type="dcterms:W3CDTF">2016-04-18T21:21:00Z</dcterms:created>
  <dcterms:modified xsi:type="dcterms:W3CDTF">2016-04-18T21:22:00Z</dcterms:modified>
</cp:coreProperties>
</file>