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B792" w14:textId="77777777" w:rsidR="00A247EC" w:rsidRPr="00A247EC" w:rsidRDefault="00A247EC" w:rsidP="00A247EC">
      <w:pPr>
        <w:shd w:val="clear" w:color="auto" w:fill="01366F"/>
        <w:spacing w:after="0" w:line="870" w:lineRule="atLeast"/>
        <w:outlineLvl w:val="0"/>
        <w:rPr>
          <w:rFonts w:ascii="Arial" w:eastAsia="Times New Roman" w:hAnsi="Arial" w:cs="Arial"/>
          <w:color w:val="BBDAFC"/>
          <w:kern w:val="36"/>
          <w:sz w:val="63"/>
          <w:szCs w:val="63"/>
          <w:lang w:eastAsia="es-CR"/>
        </w:rPr>
      </w:pPr>
      <w:r w:rsidRPr="00A247EC">
        <w:rPr>
          <w:rFonts w:ascii="Arial" w:eastAsia="Times New Roman" w:hAnsi="Arial" w:cs="Arial"/>
          <w:color w:val="BBDAFC"/>
          <w:kern w:val="36"/>
          <w:sz w:val="63"/>
          <w:szCs w:val="63"/>
          <w:lang w:eastAsia="es-CR"/>
        </w:rPr>
        <w:t>Criterios objetivos de fiscalización para el 2022</w:t>
      </w:r>
    </w:p>
    <w:p w14:paraId="007073F7" w14:textId="3EA1EDE7" w:rsidR="00A247EC" w:rsidRDefault="00A247E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1366F"/>
          <w:sz w:val="27"/>
          <w:szCs w:val="27"/>
          <w:shd w:val="clear" w:color="auto" w:fill="F5F5F5"/>
        </w:rPr>
        <w:t>Febrero 1, 2022</w:t>
      </w:r>
    </w:p>
    <w:p w14:paraId="054F0226" w14:textId="23AB99B6" w:rsidR="00A247EC" w:rsidRDefault="00A247EC" w:rsidP="0001165C">
      <w:pPr>
        <w:pStyle w:val="NormalWeb"/>
        <w:shd w:val="clear" w:color="auto" w:fill="FFFFFF"/>
        <w:spacing w:before="0" w:beforeAutospacing="0" w:after="225" w:afterAutospacing="0"/>
        <w:jc w:val="both"/>
        <w:rPr>
          <w:rFonts w:ascii="Arial" w:hAnsi="Arial" w:cs="Arial"/>
          <w:color w:val="4472C4" w:themeColor="accent1"/>
          <w:sz w:val="26"/>
          <w:szCs w:val="26"/>
        </w:rPr>
      </w:pPr>
      <w:hyperlink r:id="rId4" w:history="1">
        <w:r w:rsidRPr="00070767">
          <w:rPr>
            <w:rStyle w:val="Hipervnculo"/>
            <w:rFonts w:ascii="Arial" w:hAnsi="Arial" w:cs="Arial"/>
            <w:sz w:val="26"/>
            <w:szCs w:val="26"/>
          </w:rPr>
          <w:t>https://tpcgroup-int.com/noticias/costa-rica/criterios-objetivos-de-fiscalizacion-para-el-2022/</w:t>
        </w:r>
      </w:hyperlink>
    </w:p>
    <w:p w14:paraId="284B04E7" w14:textId="77777777" w:rsidR="00A247EC" w:rsidRPr="00A247EC" w:rsidRDefault="00A247EC" w:rsidP="0001165C">
      <w:pPr>
        <w:pStyle w:val="NormalWeb"/>
        <w:shd w:val="clear" w:color="auto" w:fill="FFFFFF"/>
        <w:spacing w:before="0" w:beforeAutospacing="0" w:after="225" w:afterAutospacing="0"/>
        <w:jc w:val="both"/>
        <w:rPr>
          <w:rFonts w:ascii="Arial" w:hAnsi="Arial" w:cs="Arial"/>
          <w:color w:val="4472C4" w:themeColor="accent1"/>
          <w:sz w:val="26"/>
          <w:szCs w:val="26"/>
        </w:rPr>
      </w:pPr>
    </w:p>
    <w:p w14:paraId="0136D1FA" w14:textId="751D6F98"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Como todos los años por deber legal, la Administración Tributaria publicó los criterios objetivos de fiscalización para el 2022. Es importante entender la trascendencia jurídica de esta publicación y su correlación con los derechos y garantías de los contribuyentes.</w:t>
      </w:r>
    </w:p>
    <w:p w14:paraId="2F220E4E"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El plan anual de fiscalización 2022 tiene novedades a los que los contribuyentes debemos prestar atención, para evaluar de previo nuestro potencial como sujetos que cumplen con alguno de los criterios objetivos.</w:t>
      </w:r>
    </w:p>
    <w:p w14:paraId="488B9FCD"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También es importante aclarar que no todos los sujetos pasivos que cumplen con las condiciones dichas en el decreto 43.388-H serán fiscalizados. La Administración Tributaria tiene una capacidad instalada de funcionarios y una matriz de riesgo que es la guía de selección para la ejecución de una fiscalización extensiva.</w:t>
      </w:r>
    </w:p>
    <w:p w14:paraId="2F7E5C2B"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La fiscalización extensiva es un procedimiento reglado, en el que el contribuyente se somete a un escrutinio profundo de uno o más tributos, para uno o varios períodos fiscales no prescritos. Como regla general, la prescripción es de cuatro años, salvo que exista causa para interrupción de la prescripción.</w:t>
      </w:r>
    </w:p>
    <w:p w14:paraId="1DA2B3F1"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El procedimiento extensivo de fiscalización es regulado por el artículo 127 del Reglamento de Procedimiento Tributario, para quienes la Administración Tributaria notifique del inicio de una actuación fiscalizadora.</w:t>
      </w:r>
    </w:p>
    <w:p w14:paraId="05DDE19F"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Aquí el primer consejo: No se asuste si está en los criterios objetivos de fiscalización, ¡pero tampoco se duerma! Hay que actuar, no hay que precipitarse.</w:t>
      </w:r>
    </w:p>
    <w:p w14:paraId="2C2545AA"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La acción recomendada es poner en marcha un plan de aseguramiento de la calidad de las declaraciones no prescritas susceptibles, conforme el decreto, de ser inspeccionadas o fiscalizadas.</w:t>
      </w:r>
    </w:p>
    <w:p w14:paraId="2CEE4760"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lastRenderedPageBreak/>
        <w:t xml:space="preserve">La prevención siempre es el mejor compañero de un administrador prudente que, sabiendo que tiene “números” en la lotería que se jugará este año, toma con tiempo y sin presión acciones para procurar asesoría fiscal especializada, que le </w:t>
      </w:r>
      <w:proofErr w:type="spellStart"/>
      <w:r>
        <w:rPr>
          <w:rFonts w:ascii="Arial" w:hAnsi="Arial" w:cs="Arial"/>
          <w:color w:val="0A0A0A"/>
          <w:sz w:val="26"/>
          <w:szCs w:val="26"/>
        </w:rPr>
        <w:t>de</w:t>
      </w:r>
      <w:proofErr w:type="spellEnd"/>
      <w:r>
        <w:rPr>
          <w:rFonts w:ascii="Arial" w:hAnsi="Arial" w:cs="Arial"/>
          <w:color w:val="0A0A0A"/>
          <w:sz w:val="26"/>
          <w:szCs w:val="26"/>
        </w:rPr>
        <w:t xml:space="preserve"> un panorama del riesgo que corre como sujeto pasible de fiscalización, y que pone en marcha, de ser oportuno, los planes de remediación correspondientes.</w:t>
      </w:r>
    </w:p>
    <w:p w14:paraId="4C3505B1"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Cuando el contribuyente detecta que alguna de sus declaraciones en impuestos no prescritos contiene errores que afectaron la determinación de la obligación tributaria, puede rectificar voluntariamente. La Administración Tributaria está obligada a aceptar de pleno derecho, la declaración rectificativa como la última, por tanto, es esta la válida ante una eventual fiscalización.</w:t>
      </w:r>
    </w:p>
    <w:p w14:paraId="29282CA5"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La posibilidad de rectificar declaraciones y darlas como válidas ante un proceso de revisión tiene un límite temporal. Se puede hacer de manera proactiva hasta previo al momento en que se recibe una notificación para fiscalización de un impuesto y período concreto.</w:t>
      </w:r>
    </w:p>
    <w:p w14:paraId="05458B83"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Una vez notificado, se puede rectificar, pero la Administración Tributaria no está en obligación de tomarla como su declaración definitiva. El acto de rectificación se transforma en una petición por resolver en el proceso de propuesta de regularización. La Administración Tributaria puede aceptar total o parcialmente la corrección extemporánea.</w:t>
      </w:r>
    </w:p>
    <w:p w14:paraId="5805E4B3"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Conviene al contribuyente prudente rectificar previo a una notificación de fiscalización. Mientras que las posibles sanciones por errores en declaración y liquidación de impuestos, conforme el artículo 81 del Código de Procedimientos Tributarios, es de un mínimo del 50% y un máximo del 150% de lo dejado de pagar; si la rectificación se ejecuta antes de un proceso de fiscalización, la consecuencia pecuniaria se reduce abismalmente a un 1% por cada mes, desde la fecha en que se generó la diferencia impagada, con un tope máximo del 20%. Un motivo económico suficiente para invertir en la limpieza de la casa si se encuentra en los supuestos indicados en el decreto.</w:t>
      </w:r>
    </w:p>
    <w:p w14:paraId="75238522"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Busque ayuda profesional independiente para la determinación de sus posibles contingencias, ya que lo que espera no gastar en ese proceso, se lo va a ahorrar en posibles sanciones como las ya dichas.</w:t>
      </w:r>
    </w:p>
    <w:p w14:paraId="6EB76EF2"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 xml:space="preserve">Tener un diagnóstico fiscal es tener un mapa de riesgo o de zonas de calor, de posibles contingencias para la eventual atención de una fiscalización por materializarse. Es como un mapa y una brújula que le permite llegar más fácil a buen puerto, contrario a ir de noche, a ojos cerrados al “banquillo de los </w:t>
      </w:r>
      <w:r>
        <w:rPr>
          <w:rFonts w:ascii="Arial" w:hAnsi="Arial" w:cs="Arial"/>
          <w:color w:val="0A0A0A"/>
          <w:sz w:val="26"/>
          <w:szCs w:val="26"/>
        </w:rPr>
        <w:lastRenderedPageBreak/>
        <w:t>acusados”. Una guía que servirá a las partes para el proceso de acompañamiento en las labores de fiscalización.</w:t>
      </w:r>
    </w:p>
    <w:p w14:paraId="0E283506"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Destacamos algunos criterios para usted valore si es momento de actuar y evitar consecuencias no deseadas en el proceso de fiscalización.</w:t>
      </w:r>
    </w:p>
    <w:p w14:paraId="3786EB71"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El artículo 1 inciso f incluye a quienes “hubieren incurrido en alguno de los siguientes incumplimientos a sus deberes tributarios:(…) 2. Que no hubieren atendido adecuadamente los requerimientos de información de trascendencia tributaria que se le hubieren formulado”.</w:t>
      </w:r>
    </w:p>
    <w:p w14:paraId="4E0313BC"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Estos supuestos pueden darse por cumplidos si, por ejemplo, se le notificó en masivo, como lo abordamos en entregas anteriores e hizo caso omiso de dicho requerimiento.</w:t>
      </w:r>
    </w:p>
    <w:p w14:paraId="6718EA49"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Se incluye el inciso “m) Que estuvieren vinculados con sujetos pasivos que sean objeto de actuaciones fiscalizadoras.”</w:t>
      </w:r>
    </w:p>
    <w:p w14:paraId="41E0EE4D"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Los grupos económicos deben prestar una especial atención a sus situaciones de riesgo sistémico de ser fiscalizados si alguna de sus partes relacionadas o vinculadas ha sido fiscalizada. La norma no incluye un dimensionamiento temporal. La atención debe ser mayor respecto a sus transacciones entre vinculadas y la apropiada y respectiva documentación de precios de transferencia, así como sobre la gestión del riesgo basada en la experiencia de fiscalización previa para las entidades del grupo económico.</w:t>
      </w:r>
    </w:p>
    <w:p w14:paraId="6D22DC82"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También es de especial atención la última parte de dicho inciso, que incluye al beneficiario final del grupo económico o los socios con participación significativa mayor al 25%, a ser susceptibles de ser fiscalizados en sus rentas personales. Un tema por revisar con especial cuidado, sobre todo por las prácticas comunes de sociedades de acumulación de bienes o dotación de beneficios</w:t>
      </w:r>
    </w:p>
    <w:p w14:paraId="6D724D94"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en especie que se caracterizan por una exigua o nula distribución de dividendos. Un resultado de la inteligencia tributaria producto del registro de beneficiarios finales de las sociedades del grupo empresarial.</w:t>
      </w:r>
    </w:p>
    <w:p w14:paraId="55170566"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Suma además la inclusión de un nuevo criterio en el inciso q), que indica como criterio de selección los supuestos producto de “Manifestaciones de signos de riqueza sin renta conocida”.</w:t>
      </w:r>
    </w:p>
    <w:p w14:paraId="6F3703C7"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 xml:space="preserve">Un reenfoque en la justificación patrimonial de las personas físicas, que son las únicas que pueden tener signos de manifestación de riqueza, entendida esta en un sentido amplio, que incluye los aspectos patrimoniales propios de tenencia directa o indirecta, sea a título personal o mediante interposición </w:t>
      </w:r>
      <w:r>
        <w:rPr>
          <w:rFonts w:ascii="Arial" w:hAnsi="Arial" w:cs="Arial"/>
          <w:color w:val="0A0A0A"/>
          <w:sz w:val="26"/>
          <w:szCs w:val="26"/>
        </w:rPr>
        <w:lastRenderedPageBreak/>
        <w:t>societaria; también trazable con la información disponible en el registro de beneficiarios finales, depositado en el Banco Central de Costa Rica.</w:t>
      </w:r>
    </w:p>
    <w:p w14:paraId="2C98CE73"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El riesgo novedoso introducido por este criterio objetivo es de mayúsculo cuidado; la ley de impuesto sobre la renta, Ley 7092 y sus múltiples remiendos, no obliga la declaración de las personas físicas, excepto en los casos de las personas físicas con actividades lucrativas.</w:t>
      </w:r>
    </w:p>
    <w:p w14:paraId="7D34CDA4"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Será un gran reto para las personas físicas que deberán reconstruir y justificar el patrimonio que usan, gozan u ostentan; así como los consumos que llevan a cabo por los diversos medios de pago a los que tiene acceso la Administración Tributaria.</w:t>
      </w:r>
    </w:p>
    <w:p w14:paraId="6DC211CC"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Esto incluye la información bancaria, de primera instancia en el sistema financiero nacional, pero también la que exista en jurisdicciones cooperantes, 139 países con los que Costa Rica cuenta con intercambio de información en el ámbito de la fiscalidad internacional y la Convención sobre la asistencia administrativa mutua en materia fiscal, vigente como ley de la república desde el año 2013, así como el acuerdado de intercambio de información con los Estados Unidos de América.</w:t>
      </w:r>
    </w:p>
    <w:p w14:paraId="4931BDD0"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En el estado de necesidad que enfrenta el fisco costarricense, no es de extrañar que, si le encuentran desprevenido, pueda pasar un muy mal rato y llevarse un traslado de cargos sustancioso.</w:t>
      </w:r>
    </w:p>
    <w:p w14:paraId="144BB466"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El decreto enfatiza en la necesidad de aplicar las normas del artículo 5 de la Ley de impuesto sobre la renta respecto de los incrementos patrimoniales injustificados. Un reto mayúsculo para quien lleve una contabilización desordenada de sus transacciones, con independencia de si tenía o no condición de deber de declarar.</w:t>
      </w:r>
    </w:p>
    <w:p w14:paraId="37546CBF"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Este será un nuevo episodio en la relación entre contribuyentes y la Administración Tributaria, Esperamos este relacionamiento se dé en el ejercicio de del respeto que le es inherente a la persona humana, empezando por el principio de inocencia y la atención a los derechos y garantías del contribuyente.</w:t>
      </w:r>
    </w:p>
    <w:p w14:paraId="3CDC9E00"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En este nuevo episodio, no estar preparado, en especial a las personas físicas significa un riesgo superlativo. No se paralice, actúe en consecuencia a este nuevo riesgo fiscal.</w:t>
      </w:r>
    </w:p>
    <w:p w14:paraId="76A62BD5" w14:textId="77777777" w:rsidR="0001165C" w:rsidRDefault="0001165C" w:rsidP="0001165C">
      <w:pPr>
        <w:pStyle w:val="NormalWeb"/>
        <w:shd w:val="clear" w:color="auto" w:fill="FFFFFF"/>
        <w:spacing w:before="0" w:beforeAutospacing="0" w:after="225" w:afterAutospacing="0"/>
        <w:jc w:val="both"/>
        <w:rPr>
          <w:rFonts w:ascii="Arial" w:hAnsi="Arial" w:cs="Arial"/>
          <w:color w:val="0A0A0A"/>
          <w:sz w:val="26"/>
          <w:szCs w:val="26"/>
        </w:rPr>
      </w:pPr>
      <w:r>
        <w:rPr>
          <w:rFonts w:ascii="Arial" w:hAnsi="Arial" w:cs="Arial"/>
          <w:color w:val="0A0A0A"/>
          <w:sz w:val="26"/>
          <w:szCs w:val="26"/>
        </w:rPr>
        <w:t>Próximamente desarrollaremos las cuestiones que plantea la inclusión del criterio de signos externos de riqueza, así como la incidencia de las tecnologías de la información en este proceso y la posible transgresión de los derechos de intimidad del contribuyente entre otros.</w:t>
      </w:r>
    </w:p>
    <w:p w14:paraId="25584A29" w14:textId="77777777" w:rsidR="008D4B9F" w:rsidRDefault="008D4B9F"/>
    <w:sectPr w:rsidR="008D4B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5C"/>
    <w:rsid w:val="0001165C"/>
    <w:rsid w:val="008D4B9F"/>
    <w:rsid w:val="00A247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8B8B"/>
  <w15:chartTrackingRefBased/>
  <w15:docId w15:val="{7965DABE-847C-44E5-83E0-7E619BCA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165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A247EC"/>
    <w:rPr>
      <w:color w:val="0563C1" w:themeColor="hyperlink"/>
      <w:u w:val="single"/>
    </w:rPr>
  </w:style>
  <w:style w:type="character" w:styleId="Mencinsinresolver">
    <w:name w:val="Unresolved Mention"/>
    <w:basedOn w:val="Fuentedeprrafopredeter"/>
    <w:uiPriority w:val="99"/>
    <w:semiHidden/>
    <w:unhideWhenUsed/>
    <w:rsid w:val="00A24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56807">
      <w:bodyDiv w:val="1"/>
      <w:marLeft w:val="0"/>
      <w:marRight w:val="0"/>
      <w:marTop w:val="0"/>
      <w:marBottom w:val="0"/>
      <w:divBdr>
        <w:top w:val="none" w:sz="0" w:space="0" w:color="auto"/>
        <w:left w:val="none" w:sz="0" w:space="0" w:color="auto"/>
        <w:bottom w:val="none" w:sz="0" w:space="0" w:color="auto"/>
        <w:right w:val="none" w:sz="0" w:space="0" w:color="auto"/>
      </w:divBdr>
    </w:div>
    <w:div w:id="14125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pcgroup-int.com/noticias/costa-rica/criterios-objetivos-de-fiscalizacion-para-el-20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1436</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María Rodríguez Gamboa</dc:creator>
  <cp:keywords/>
  <dc:description/>
  <cp:lastModifiedBy>Flor María Rodríguez Gamboa</cp:lastModifiedBy>
  <cp:revision>1</cp:revision>
  <dcterms:created xsi:type="dcterms:W3CDTF">2022-08-05T06:37:00Z</dcterms:created>
  <dcterms:modified xsi:type="dcterms:W3CDTF">2022-08-05T06:45:00Z</dcterms:modified>
</cp:coreProperties>
</file>