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E1" w:rsidRPr="00382EE1" w:rsidRDefault="00382EE1" w:rsidP="00382EE1">
      <w:pPr>
        <w:jc w:val="center"/>
        <w:rPr>
          <w:rFonts w:ascii="Berlin Sans FB Demi" w:hAnsi="Berlin Sans FB Demi" w:cs="Tahoma"/>
          <w:b/>
          <w:sz w:val="52"/>
          <w:szCs w:val="52"/>
        </w:rPr>
      </w:pPr>
      <w:bookmarkStart w:id="0" w:name="_GoBack"/>
      <w:bookmarkEnd w:id="0"/>
      <w:r w:rsidRPr="00382EE1">
        <w:rPr>
          <w:rFonts w:ascii="Berlin Sans FB Demi" w:hAnsi="Berlin Sans FB Demi" w:cs="Tahoma"/>
          <w:b/>
          <w:sz w:val="52"/>
          <w:szCs w:val="52"/>
        </w:rPr>
        <w:t>Uso de contingentes aun a medias</w:t>
      </w:r>
    </w:p>
    <w:p w:rsidR="00382EE1" w:rsidRPr="00382EE1" w:rsidRDefault="00382EE1" w:rsidP="00382EE1">
      <w:pPr>
        <w:rPr>
          <w:rFonts w:ascii="Tahoma" w:hAnsi="Tahoma" w:cs="Tahoma"/>
        </w:rPr>
      </w:pPr>
      <w:r w:rsidRPr="00382EE1">
        <w:rPr>
          <w:rFonts w:ascii="Tahoma" w:hAnsi="Tahoma" w:cs="Tahoma"/>
        </w:rPr>
        <w:t>Mantequilla, azúcar y leche en polvo son los más utilizados entre 30 contingentes de exportación</w:t>
      </w:r>
    </w:p>
    <w:p w:rsidR="00382EE1" w:rsidRPr="00382EE1" w:rsidRDefault="00382EE1" w:rsidP="00382EE1">
      <w:pPr>
        <w:rPr>
          <w:rFonts w:ascii="Tahoma" w:hAnsi="Tahoma" w:cs="Tahoma"/>
        </w:rPr>
      </w:pPr>
      <w:r w:rsidRPr="00382EE1">
        <w:rPr>
          <w:rFonts w:ascii="Tahoma" w:hAnsi="Tahoma" w:cs="Tahoma"/>
        </w:rPr>
        <w:t>Edición 814 EL FINANCIERO</w:t>
      </w:r>
    </w:p>
    <w:p w:rsidR="00382EE1" w:rsidRPr="00382EE1" w:rsidRDefault="00382EE1" w:rsidP="00382EE1">
      <w:pPr>
        <w:rPr>
          <w:rFonts w:ascii="Tahoma" w:hAnsi="Tahoma" w:cs="Tahoma"/>
        </w:rPr>
      </w:pPr>
      <w:r w:rsidRPr="00382EE1">
        <w:rPr>
          <w:rFonts w:ascii="Tahoma" w:hAnsi="Tahoma" w:cs="Tahoma"/>
        </w:rPr>
        <w:t>César Brenes Quirós</w:t>
      </w:r>
    </w:p>
    <w:p w:rsidR="00382EE1" w:rsidRPr="00382EE1" w:rsidRDefault="00382EE1" w:rsidP="00382EE1">
      <w:pPr>
        <w:rPr>
          <w:rFonts w:ascii="Tahoma" w:hAnsi="Tahoma" w:cs="Tahoma"/>
        </w:rPr>
      </w:pPr>
      <w:r w:rsidRPr="00382EE1">
        <w:rPr>
          <w:rFonts w:ascii="Tahoma" w:hAnsi="Tahoma" w:cs="Tahoma"/>
        </w:rPr>
        <w:t>Dos Pinos y la Liga Agrícola Industrial de la Caña (Laica) son dos de las empresas que más han aprovechado los contingentes de exportación cedidos al país como parte de de los tratados de libre comercio (TLC) con varios países.</w:t>
      </w:r>
    </w:p>
    <w:p w:rsidR="00382EE1" w:rsidRPr="00382EE1" w:rsidRDefault="00382EE1" w:rsidP="00382EE1">
      <w:pPr>
        <w:rPr>
          <w:rFonts w:ascii="Tahoma" w:hAnsi="Tahoma" w:cs="Tahoma"/>
        </w:rPr>
      </w:pPr>
      <w:r w:rsidRPr="00382EE1">
        <w:rPr>
          <w:rFonts w:ascii="Tahoma" w:hAnsi="Tahoma" w:cs="Tahoma"/>
        </w:rPr>
        <w:t>Por ejemplo, el año pasado Dos Pinos utilizó parte de las cuotas para venderle productos lácteos a Panamá, República Dominicana y Estados Unidos (EE. UU.) bajo un arancel preferencial.</w:t>
      </w:r>
    </w:p>
    <w:p w:rsidR="00382EE1" w:rsidRPr="00382EE1" w:rsidRDefault="00382EE1" w:rsidP="00382EE1">
      <w:pPr>
        <w:rPr>
          <w:rFonts w:ascii="Tahoma" w:hAnsi="Tahoma" w:cs="Tahoma"/>
        </w:rPr>
      </w:pPr>
      <w:r w:rsidRPr="00382EE1">
        <w:rPr>
          <w:rFonts w:ascii="Tahoma" w:hAnsi="Tahoma" w:cs="Tahoma"/>
        </w:rPr>
        <w:t>La industrializadora de leche más grande del país exportó en ese periodo $63 millones a más de diez destinos.</w:t>
      </w:r>
    </w:p>
    <w:p w:rsidR="00382EE1" w:rsidRPr="00382EE1" w:rsidRDefault="00382EE1" w:rsidP="00382EE1">
      <w:pPr>
        <w:rPr>
          <w:rFonts w:ascii="Tahoma" w:hAnsi="Tahoma" w:cs="Tahoma"/>
        </w:rPr>
      </w:pPr>
      <w:r w:rsidRPr="00382EE1">
        <w:rPr>
          <w:rFonts w:ascii="Tahoma" w:hAnsi="Tahoma" w:cs="Tahoma"/>
        </w:rPr>
        <w:t>Aunque Francisco Arias, asesor en política comercial de la compañía, no reveló las cantidades exactas de exportación a esos lugares, las cifras de la Promotora de Comercio Exterior (Procomer) pueden dar una idea.</w:t>
      </w:r>
    </w:p>
    <w:p w:rsidR="00382EE1" w:rsidRPr="00382EE1" w:rsidRDefault="00382EE1" w:rsidP="00382EE1">
      <w:pPr>
        <w:rPr>
          <w:rFonts w:ascii="Tahoma" w:hAnsi="Tahoma" w:cs="Tahoma"/>
        </w:rPr>
      </w:pPr>
      <w:r w:rsidRPr="00382EE1">
        <w:rPr>
          <w:rFonts w:ascii="Tahoma" w:hAnsi="Tahoma" w:cs="Tahoma"/>
        </w:rPr>
        <w:t>De las 2.200 Toneladas Métricas (TM) de leche y nata (crema) que Costa Rica tiene derecho a exportar a República Dominicana con un arancel preferencial, en 2010 se colocaron 2.145,3 TM.</w:t>
      </w:r>
    </w:p>
    <w:p w:rsidR="00382EE1" w:rsidRPr="00382EE1" w:rsidRDefault="00382EE1" w:rsidP="00382EE1">
      <w:pPr>
        <w:rPr>
          <w:rFonts w:ascii="Tahoma" w:hAnsi="Tahoma" w:cs="Tahoma"/>
        </w:rPr>
      </w:pPr>
      <w:r w:rsidRPr="00382EE1">
        <w:rPr>
          <w:rFonts w:ascii="Tahoma" w:hAnsi="Tahoma" w:cs="Tahoma"/>
        </w:rPr>
        <w:t>En el 2008, esa cantidad llegó a 212,9 TM y en el 2009 apenas 92,8 TM.</w:t>
      </w:r>
    </w:p>
    <w:p w:rsidR="00382EE1" w:rsidRPr="00382EE1" w:rsidRDefault="00382EE1" w:rsidP="00382EE1">
      <w:pPr>
        <w:rPr>
          <w:rFonts w:ascii="Tahoma" w:hAnsi="Tahoma" w:cs="Tahoma"/>
        </w:rPr>
      </w:pPr>
      <w:r w:rsidRPr="00382EE1">
        <w:rPr>
          <w:rFonts w:ascii="Tahoma" w:hAnsi="Tahoma" w:cs="Tahoma"/>
        </w:rPr>
        <w:t xml:space="preserve">Por su parte, Laica no es precisamente un amateur cuando de aprovechar contingentes se trata. </w:t>
      </w:r>
    </w:p>
    <w:p w:rsidR="00382EE1" w:rsidRPr="00382EE1" w:rsidRDefault="00382EE1" w:rsidP="00382EE1">
      <w:pPr>
        <w:rPr>
          <w:rFonts w:ascii="Tahoma" w:hAnsi="Tahoma" w:cs="Tahoma"/>
        </w:rPr>
      </w:pPr>
      <w:r w:rsidRPr="00382EE1">
        <w:rPr>
          <w:rFonts w:ascii="Tahoma" w:hAnsi="Tahoma" w:cs="Tahoma"/>
        </w:rPr>
        <w:t>Según Edgar Herrera, director ejecutivo de la compañía, en el 2004 y el 2006 utilizaron el contingente que otorgaba México para el azúcar como parte del TLC.</w:t>
      </w:r>
    </w:p>
    <w:p w:rsidR="00382EE1" w:rsidRPr="00382EE1" w:rsidRDefault="00382EE1" w:rsidP="00382EE1">
      <w:pPr>
        <w:rPr>
          <w:rFonts w:ascii="Tahoma" w:hAnsi="Tahoma" w:cs="Tahoma"/>
        </w:rPr>
      </w:pPr>
      <w:r w:rsidRPr="00382EE1">
        <w:rPr>
          <w:rFonts w:ascii="Tahoma" w:hAnsi="Tahoma" w:cs="Tahoma"/>
        </w:rPr>
        <w:t>Asimismo, en 2010 aprovecharon al 100% las cuotas de acceso preferencial cedidas en el TLC con Estados Unidos (Cafta, por sus siglas en inglés) y las permitidas por esa misma nación en el marco de los compromisos ante la Organización Mundial de Comercio (OMC).</w:t>
      </w:r>
    </w:p>
    <w:p w:rsidR="00382EE1" w:rsidRPr="00382EE1" w:rsidRDefault="00382EE1" w:rsidP="00382EE1">
      <w:pPr>
        <w:rPr>
          <w:rFonts w:ascii="Tahoma" w:hAnsi="Tahoma" w:cs="Tahoma"/>
        </w:rPr>
      </w:pPr>
      <w:r w:rsidRPr="00382EE1">
        <w:rPr>
          <w:rFonts w:ascii="Tahoma" w:hAnsi="Tahoma" w:cs="Tahoma"/>
        </w:rPr>
        <w:t>Esto significa que Laica exportó a EE. UU. en total 28.500 TM de azúcar durante 2010.</w:t>
      </w:r>
    </w:p>
    <w:p w:rsidR="00382EE1" w:rsidRPr="00382EE1" w:rsidRDefault="00382EE1" w:rsidP="00382EE1">
      <w:pPr>
        <w:rPr>
          <w:rFonts w:ascii="Tahoma" w:hAnsi="Tahoma" w:cs="Tahoma"/>
        </w:rPr>
      </w:pPr>
      <w:r w:rsidRPr="00382EE1">
        <w:rPr>
          <w:rFonts w:ascii="Tahoma" w:hAnsi="Tahoma" w:cs="Tahoma"/>
        </w:rPr>
        <w:t>La atracción que genera para el comprador el libre acceso de los productos a su país y el precio competitivo que se logra con la exoneración son dos de las razones que Herrera señala como fundamentales para aprovechar tales beneficios.</w:t>
      </w:r>
    </w:p>
    <w:p w:rsidR="00382EE1" w:rsidRPr="00382EE1" w:rsidRDefault="00382EE1" w:rsidP="00382EE1">
      <w:pPr>
        <w:rPr>
          <w:rFonts w:ascii="Tahoma" w:hAnsi="Tahoma" w:cs="Tahoma"/>
        </w:rPr>
      </w:pPr>
      <w:r w:rsidRPr="00382EE1">
        <w:rPr>
          <w:rFonts w:ascii="Tahoma" w:hAnsi="Tahoma" w:cs="Tahoma"/>
        </w:rPr>
        <w:lastRenderedPageBreak/>
        <w:t>Según el Ministerio de Comercio Exterior (Comex), para el 2011 Costa Rica cuenta con 30 contingentes arancelarios de exportación con los TLC vigentes.</w:t>
      </w:r>
    </w:p>
    <w:p w:rsidR="00382EE1" w:rsidRPr="00382EE1" w:rsidRDefault="00382EE1" w:rsidP="00382EE1">
      <w:pPr>
        <w:rPr>
          <w:rFonts w:ascii="Tahoma" w:hAnsi="Tahoma" w:cs="Tahoma"/>
        </w:rPr>
      </w:pPr>
      <w:r w:rsidRPr="00382EE1">
        <w:rPr>
          <w:rFonts w:ascii="Tahoma" w:hAnsi="Tahoma" w:cs="Tahoma"/>
        </w:rPr>
        <w:t>Sin embargo, EF ha reportado que en años anteriores los beneficios han sido desaprovechados debido a la existencia de precios poco atractivos y logística complicada. Tal es el caso de los tratados con Chile, México y Canadá.</w:t>
      </w:r>
    </w:p>
    <w:p w:rsidR="00382EE1" w:rsidRPr="00382EE1" w:rsidRDefault="00382EE1" w:rsidP="00382EE1">
      <w:pPr>
        <w:rPr>
          <w:rFonts w:ascii="Tahoma" w:hAnsi="Tahoma" w:cs="Tahoma"/>
        </w:rPr>
      </w:pPr>
      <w:r w:rsidRPr="00382EE1">
        <w:rPr>
          <w:rFonts w:ascii="Tahoma" w:hAnsi="Tahoma" w:cs="Tahoma"/>
        </w:rPr>
        <w:t>Todavía hay unos, como el de pechugas de pollo a República Dominicana, que no se aprovechan.</w:t>
      </w:r>
    </w:p>
    <w:p w:rsidR="00382EE1" w:rsidRPr="00382EE1" w:rsidRDefault="00382EE1" w:rsidP="00382EE1">
      <w:pPr>
        <w:rPr>
          <w:rFonts w:ascii="Tahoma" w:hAnsi="Tahoma" w:cs="Tahoma"/>
        </w:rPr>
      </w:pPr>
      <w:r w:rsidRPr="00382EE1">
        <w:rPr>
          <w:rFonts w:ascii="Tahoma" w:hAnsi="Tahoma" w:cs="Tahoma"/>
        </w:rPr>
        <w:t>Tanto Comex como la Cámara de Exportadores de Costa Rica (Cadexco) recomiendan utilizar un contingente cuando concuerde con la estrategia de negocios de la empresa.</w:t>
      </w:r>
    </w:p>
    <w:p w:rsidR="00382EE1" w:rsidRPr="00382EE1" w:rsidRDefault="00382EE1" w:rsidP="00382EE1">
      <w:pPr>
        <w:rPr>
          <w:rFonts w:ascii="Tahoma" w:hAnsi="Tahoma" w:cs="Tahoma"/>
        </w:rPr>
      </w:pPr>
      <w:r w:rsidRPr="00382EE1">
        <w:rPr>
          <w:rFonts w:ascii="Tahoma" w:hAnsi="Tahoma" w:cs="Tahoma"/>
        </w:rPr>
        <w:t>La eventual entrada en vigencia de nuevos TLC, como el de la Unión Europea, hace esa consideración aún más importante.</w:t>
      </w:r>
    </w:p>
    <w:p w:rsidR="00382EE1" w:rsidRPr="00382EE1" w:rsidRDefault="00382EE1" w:rsidP="00382EE1">
      <w:pPr>
        <w:rPr>
          <w:rFonts w:ascii="Tahoma" w:hAnsi="Tahoma" w:cs="Tahoma"/>
        </w:rPr>
      </w:pPr>
      <w:r w:rsidRPr="00382EE1">
        <w:rPr>
          <w:rFonts w:ascii="Tahoma" w:hAnsi="Tahoma" w:cs="Tahoma"/>
        </w:rPr>
        <w:t>En evolución</w:t>
      </w:r>
    </w:p>
    <w:p w:rsidR="00382EE1" w:rsidRPr="00382EE1" w:rsidRDefault="00382EE1" w:rsidP="00382EE1">
      <w:pPr>
        <w:rPr>
          <w:rFonts w:ascii="Tahoma" w:hAnsi="Tahoma" w:cs="Tahoma"/>
        </w:rPr>
      </w:pPr>
      <w:r w:rsidRPr="00382EE1">
        <w:rPr>
          <w:rFonts w:ascii="Tahoma" w:hAnsi="Tahoma" w:cs="Tahoma"/>
        </w:rPr>
        <w:t>La cantidad de contingentes de exportación otorgados al país ha crecido astronómicamente en la última década.</w:t>
      </w:r>
    </w:p>
    <w:p w:rsidR="00382EE1" w:rsidRPr="00382EE1" w:rsidRDefault="00382EE1" w:rsidP="00382EE1">
      <w:pPr>
        <w:rPr>
          <w:rFonts w:ascii="Tahoma" w:hAnsi="Tahoma" w:cs="Tahoma"/>
        </w:rPr>
      </w:pPr>
      <w:r w:rsidRPr="00382EE1">
        <w:rPr>
          <w:rFonts w:ascii="Tahoma" w:hAnsi="Tahoma" w:cs="Tahoma"/>
        </w:rPr>
        <w:t>El Comex reportaba apenas seis para el 2002. Sin embargo, la creciente apertura comercial disparó esa cifra.</w:t>
      </w:r>
    </w:p>
    <w:p w:rsidR="00382EE1" w:rsidRPr="00382EE1" w:rsidRDefault="00382EE1" w:rsidP="00382EE1">
      <w:pPr>
        <w:rPr>
          <w:rFonts w:ascii="Tahoma" w:hAnsi="Tahoma" w:cs="Tahoma"/>
        </w:rPr>
      </w:pPr>
      <w:r w:rsidRPr="00382EE1">
        <w:rPr>
          <w:rFonts w:ascii="Tahoma" w:hAnsi="Tahoma" w:cs="Tahoma"/>
        </w:rPr>
        <w:t>2.145,3</w:t>
      </w:r>
    </w:p>
    <w:p w:rsidR="00382EE1" w:rsidRPr="00382EE1" w:rsidRDefault="00382EE1" w:rsidP="00382EE1">
      <w:pPr>
        <w:rPr>
          <w:rFonts w:ascii="Tahoma" w:hAnsi="Tahoma" w:cs="Tahoma"/>
        </w:rPr>
      </w:pPr>
      <w:r w:rsidRPr="00382EE1">
        <w:rPr>
          <w:rFonts w:ascii="Tahoma" w:hAnsi="Tahoma" w:cs="Tahoma"/>
        </w:rPr>
        <w:t>Toneladas métricas de leche y nata (crema) enviadas a República Dominicana en el 2010.</w:t>
      </w:r>
    </w:p>
    <w:p w:rsidR="00382EE1" w:rsidRPr="00382EE1" w:rsidRDefault="00382EE1" w:rsidP="00382EE1">
      <w:pPr>
        <w:rPr>
          <w:rFonts w:ascii="Tahoma" w:hAnsi="Tahoma" w:cs="Tahoma"/>
        </w:rPr>
      </w:pPr>
      <w:r w:rsidRPr="00382EE1">
        <w:rPr>
          <w:rFonts w:ascii="Tahoma" w:hAnsi="Tahoma" w:cs="Tahoma"/>
        </w:rPr>
        <w:t>28.500</w:t>
      </w:r>
    </w:p>
    <w:p w:rsidR="00382EE1" w:rsidRPr="00382EE1" w:rsidRDefault="00382EE1" w:rsidP="00382EE1">
      <w:pPr>
        <w:rPr>
          <w:rFonts w:ascii="Tahoma" w:hAnsi="Tahoma" w:cs="Tahoma"/>
        </w:rPr>
      </w:pPr>
      <w:r w:rsidRPr="00382EE1">
        <w:rPr>
          <w:rFonts w:ascii="Tahoma" w:hAnsi="Tahoma" w:cs="Tahoma"/>
        </w:rPr>
        <w:t>Toneladas métricas de azúcar exportadas por Laica a EE. UU. durante el 2010.</w:t>
      </w:r>
    </w:p>
    <w:p w:rsidR="00382EE1" w:rsidRPr="00382EE1" w:rsidRDefault="00382EE1" w:rsidP="00382EE1">
      <w:pPr>
        <w:rPr>
          <w:rFonts w:ascii="Tahoma" w:hAnsi="Tahoma" w:cs="Tahoma"/>
        </w:rPr>
      </w:pPr>
      <w:r w:rsidRPr="00382EE1">
        <w:rPr>
          <w:rFonts w:ascii="Tahoma" w:hAnsi="Tahoma" w:cs="Tahoma"/>
        </w:rPr>
        <w:t>2.070</w:t>
      </w:r>
    </w:p>
    <w:p w:rsidR="00382EE1" w:rsidRPr="00382EE1" w:rsidRDefault="00382EE1" w:rsidP="00382EE1">
      <w:pPr>
        <w:rPr>
          <w:rFonts w:ascii="Tahoma" w:hAnsi="Tahoma" w:cs="Tahoma"/>
        </w:rPr>
      </w:pPr>
      <w:r w:rsidRPr="00382EE1">
        <w:rPr>
          <w:rFonts w:ascii="Tahoma" w:hAnsi="Tahoma" w:cs="Tahoma"/>
        </w:rPr>
        <w:t>Toneladas métricas de pechuga de pollo disfrutan de contingente en República Dominicana.</w:t>
      </w:r>
    </w:p>
    <w:p w:rsidR="00382EE1" w:rsidRPr="00382EE1" w:rsidRDefault="00382EE1" w:rsidP="00382EE1">
      <w:pPr>
        <w:rPr>
          <w:rFonts w:ascii="Tahoma" w:hAnsi="Tahoma" w:cs="Tahoma"/>
        </w:rPr>
      </w:pPr>
      <w:r w:rsidRPr="00382EE1">
        <w:rPr>
          <w:rFonts w:ascii="Tahoma" w:hAnsi="Tahoma" w:cs="Tahoma"/>
        </w:rPr>
        <w:t>De los que rigen este año, hay 2 en México, 17 en Panamá, 10 en el Cafta (2 para República Dominicana y 8 en EE. UU.) y uno como parte del compromiso de EE.UU. ante la OMC.</w:t>
      </w:r>
    </w:p>
    <w:p w:rsidR="00382EE1" w:rsidRPr="00382EE1" w:rsidRDefault="00382EE1" w:rsidP="00382EE1">
      <w:pPr>
        <w:rPr>
          <w:rFonts w:ascii="Tahoma" w:hAnsi="Tahoma" w:cs="Tahoma"/>
        </w:rPr>
      </w:pPr>
      <w:r w:rsidRPr="00382EE1">
        <w:rPr>
          <w:rFonts w:ascii="Tahoma" w:hAnsi="Tahoma" w:cs="Tahoma"/>
        </w:rPr>
        <w:t>En algunos casos, como el del TLC con Chile, los productos han llegado a 0% dentro del programa de desgravación, por lo que el contingente deja de aplicarse y todo entra libre de impuestos.</w:t>
      </w:r>
    </w:p>
    <w:p w:rsidR="00382EE1" w:rsidRPr="00382EE1" w:rsidRDefault="00382EE1" w:rsidP="00382EE1">
      <w:pPr>
        <w:rPr>
          <w:rFonts w:ascii="Tahoma" w:hAnsi="Tahoma" w:cs="Tahoma"/>
        </w:rPr>
      </w:pPr>
      <w:r w:rsidRPr="00382EE1">
        <w:rPr>
          <w:rFonts w:ascii="Tahoma" w:hAnsi="Tahoma" w:cs="Tahoma"/>
        </w:rPr>
        <w:t>Productos lácteos, carne de cerdo, pollo, papel higiénico, toallas y azúcar destacan entre los artículos que hoy gozan de beneficios por los contingentes.</w:t>
      </w:r>
    </w:p>
    <w:p w:rsidR="00382EE1" w:rsidRPr="00382EE1" w:rsidRDefault="00382EE1" w:rsidP="00382EE1">
      <w:pPr>
        <w:rPr>
          <w:rFonts w:ascii="Tahoma" w:hAnsi="Tahoma" w:cs="Tahoma"/>
        </w:rPr>
      </w:pPr>
      <w:r w:rsidRPr="00382EE1">
        <w:rPr>
          <w:rFonts w:ascii="Tahoma" w:hAnsi="Tahoma" w:cs="Tahoma"/>
        </w:rPr>
        <w:lastRenderedPageBreak/>
        <w:t>Uno de los más grandes es el otorgado por México en polvos para la preparación de bebidas a base de azúcar (22.000 TM) y el de República Dominicana para pechuga de pollo de 2.070 TM.</w:t>
      </w:r>
    </w:p>
    <w:p w:rsidR="00382EE1" w:rsidRPr="00382EE1" w:rsidRDefault="00382EE1" w:rsidP="00382EE1">
      <w:pPr>
        <w:rPr>
          <w:rFonts w:ascii="Tahoma" w:hAnsi="Tahoma" w:cs="Tahoma"/>
        </w:rPr>
      </w:pPr>
      <w:r w:rsidRPr="00382EE1">
        <w:rPr>
          <w:rFonts w:ascii="Tahoma" w:hAnsi="Tahoma" w:cs="Tahoma"/>
        </w:rPr>
        <w:t>Empero, la Corporación Pipasa, una de las empresas que más podría aprovechar este último, todavía no lo hace.</w:t>
      </w:r>
    </w:p>
    <w:p w:rsidR="00382EE1" w:rsidRPr="00382EE1" w:rsidRDefault="00382EE1" w:rsidP="00382EE1">
      <w:pPr>
        <w:rPr>
          <w:rFonts w:ascii="Tahoma" w:hAnsi="Tahoma" w:cs="Tahoma"/>
        </w:rPr>
      </w:pPr>
      <w:r w:rsidRPr="00382EE1">
        <w:rPr>
          <w:rFonts w:ascii="Tahoma" w:hAnsi="Tahoma" w:cs="Tahoma"/>
        </w:rPr>
        <w:t>Víctor Oconitrillo, presidente ejecutivo de Pipasa, señaló que se encuentran realizando un plan de registro de marcas y de autorización de plantas para aprovechar las ventajas de exportación mediante contingentes.</w:t>
      </w:r>
    </w:p>
    <w:p w:rsidR="00382EE1" w:rsidRPr="00382EE1" w:rsidRDefault="00382EE1" w:rsidP="00382EE1">
      <w:pPr>
        <w:rPr>
          <w:rFonts w:ascii="Tahoma" w:hAnsi="Tahoma" w:cs="Tahoma"/>
        </w:rPr>
      </w:pPr>
      <w:r w:rsidRPr="00382EE1">
        <w:rPr>
          <w:rFonts w:ascii="Tahoma" w:hAnsi="Tahoma" w:cs="Tahoma"/>
        </w:rPr>
        <w:t>Mientras tanto, Comex reporta un aprovechamiento principalmente de los aranceles negociados a través del Cafta y el TLC con Panamá.</w:t>
      </w:r>
    </w:p>
    <w:p w:rsidR="00382EE1" w:rsidRPr="00382EE1" w:rsidRDefault="00382EE1" w:rsidP="00382EE1">
      <w:pPr>
        <w:rPr>
          <w:rFonts w:ascii="Tahoma" w:hAnsi="Tahoma" w:cs="Tahoma"/>
        </w:rPr>
      </w:pPr>
      <w:r w:rsidRPr="00382EE1">
        <w:rPr>
          <w:rFonts w:ascii="Tahoma" w:hAnsi="Tahoma" w:cs="Tahoma"/>
        </w:rPr>
        <w:t>De acuerdo con esa entidad, en el 2010 se utilizó el 59,6% del contingente de mantequilla (61 TM) negociado con EE.UU. Ade-más, reporta cantidades de carne de cerdo vendidas a Panamá.</w:t>
      </w:r>
    </w:p>
    <w:p w:rsidR="00382EE1" w:rsidRPr="00382EE1" w:rsidRDefault="00382EE1" w:rsidP="00382EE1">
      <w:pPr>
        <w:rPr>
          <w:rFonts w:ascii="Tahoma" w:hAnsi="Tahoma" w:cs="Tahoma"/>
        </w:rPr>
      </w:pPr>
      <w:r w:rsidRPr="00382EE1">
        <w:rPr>
          <w:rFonts w:ascii="Tahoma" w:hAnsi="Tahoma" w:cs="Tahoma"/>
        </w:rPr>
        <w:t>Según Procomer, en el 2010 la cantidad exportada de ese producto a la nación vecina fue de 95,70 TM, casi 10 toneladas adicionales con respecto al 2009.</w:t>
      </w:r>
    </w:p>
    <w:p w:rsidR="00382EE1" w:rsidRPr="00382EE1" w:rsidRDefault="00382EE1" w:rsidP="00382EE1">
      <w:pPr>
        <w:rPr>
          <w:rFonts w:ascii="Tahoma" w:hAnsi="Tahoma" w:cs="Tahoma"/>
        </w:rPr>
      </w:pPr>
      <w:r w:rsidRPr="00382EE1">
        <w:rPr>
          <w:rFonts w:ascii="Tahoma" w:hAnsi="Tahoma" w:cs="Tahoma"/>
        </w:rPr>
        <w:t>¿Cómo aprovecharlos?</w:t>
      </w:r>
    </w:p>
    <w:p w:rsidR="00382EE1" w:rsidRPr="00382EE1" w:rsidRDefault="00382EE1" w:rsidP="00382EE1">
      <w:pPr>
        <w:rPr>
          <w:rFonts w:ascii="Tahoma" w:hAnsi="Tahoma" w:cs="Tahoma"/>
        </w:rPr>
      </w:pPr>
      <w:r w:rsidRPr="00382EE1">
        <w:rPr>
          <w:rFonts w:ascii="Tahoma" w:hAnsi="Tahoma" w:cs="Tahoma"/>
        </w:rPr>
        <w:t>Conocer el mercado de destino, tener clara la estrategia de negocio y saber cuáles son los requisitos técnicos para exportar son pasos claves antes de decidir aprovechar un contingente.</w:t>
      </w:r>
    </w:p>
    <w:p w:rsidR="00382EE1" w:rsidRPr="00382EE1" w:rsidRDefault="00382EE1" w:rsidP="00382EE1">
      <w:pPr>
        <w:rPr>
          <w:rFonts w:ascii="Tahoma" w:hAnsi="Tahoma" w:cs="Tahoma"/>
        </w:rPr>
      </w:pPr>
      <w:r w:rsidRPr="00382EE1">
        <w:rPr>
          <w:rFonts w:ascii="Tahoma" w:hAnsi="Tahoma" w:cs="Tahoma"/>
        </w:rPr>
        <w:t>Sergio Navas, vicepresidente ejecutivo de Cadexco, cree que no tiene sentido aprovechar un contingente si se encuentran mejores condiciones en otros mercados.</w:t>
      </w:r>
    </w:p>
    <w:p w:rsidR="00382EE1" w:rsidRPr="00382EE1" w:rsidRDefault="00382EE1" w:rsidP="00382EE1">
      <w:pPr>
        <w:rPr>
          <w:rFonts w:ascii="Tahoma" w:hAnsi="Tahoma" w:cs="Tahoma"/>
        </w:rPr>
      </w:pPr>
      <w:r w:rsidRPr="00382EE1">
        <w:rPr>
          <w:rFonts w:ascii="Tahoma" w:hAnsi="Tahoma" w:cs="Tahoma"/>
        </w:rPr>
        <w:t>Empero, en caso de decidirse es necesario considerar la logística requerida para exportar y los estándares técnicos que cada nación solicita.</w:t>
      </w:r>
    </w:p>
    <w:p w:rsidR="00382EE1" w:rsidRPr="00382EE1" w:rsidRDefault="00382EE1" w:rsidP="00382EE1">
      <w:pPr>
        <w:rPr>
          <w:rFonts w:ascii="Tahoma" w:hAnsi="Tahoma" w:cs="Tahoma"/>
        </w:rPr>
      </w:pPr>
      <w:r w:rsidRPr="00382EE1">
        <w:rPr>
          <w:rFonts w:ascii="Tahoma" w:hAnsi="Tahoma" w:cs="Tahoma"/>
        </w:rPr>
        <w:t>Navas cree que el Gobierno debe establecer una guía formal y unificada de requisitos técnicos de exportación para asegurar el aprovechamiento de estos beneficios.</w:t>
      </w:r>
    </w:p>
    <w:p w:rsidR="00382EE1" w:rsidRPr="00382EE1" w:rsidRDefault="00382EE1" w:rsidP="00382EE1">
      <w:pPr>
        <w:rPr>
          <w:rFonts w:ascii="Tahoma" w:hAnsi="Tahoma" w:cs="Tahoma"/>
        </w:rPr>
      </w:pPr>
      <w:r w:rsidRPr="00382EE1">
        <w:rPr>
          <w:rFonts w:ascii="Tahoma" w:hAnsi="Tahoma" w:cs="Tahoma"/>
        </w:rPr>
        <w:t>Por otro lado, Federico Valerio, director general de Comercio Exterior del Comex, considera conveniente estar al tanto del sistema de administración de contingentes de cada país.</w:t>
      </w:r>
    </w:p>
    <w:p w:rsidR="00382EE1" w:rsidRPr="00382EE1" w:rsidRDefault="00382EE1" w:rsidP="00382EE1">
      <w:pPr>
        <w:rPr>
          <w:rFonts w:ascii="Tahoma" w:hAnsi="Tahoma" w:cs="Tahoma"/>
        </w:rPr>
      </w:pPr>
      <w:r w:rsidRPr="00382EE1">
        <w:rPr>
          <w:rFonts w:ascii="Tahoma" w:hAnsi="Tahoma" w:cs="Tahoma"/>
        </w:rPr>
        <w:t>Por ejemplo, Estados Unidos aplica un sistema de “primer en llegar, primero en servirse”, lo cual significa que el contingente se aplica sin haber realizado un trámite previo. República Dominicana asigna a través de un sistema de récord histórico y Panamá mediante una subasta en bolsa.</w:t>
      </w:r>
    </w:p>
    <w:p w:rsidR="00382EE1" w:rsidRPr="00382EE1" w:rsidRDefault="00382EE1" w:rsidP="00382EE1">
      <w:pPr>
        <w:rPr>
          <w:rFonts w:ascii="Tahoma" w:hAnsi="Tahoma" w:cs="Tahoma"/>
        </w:rPr>
      </w:pPr>
      <w:r w:rsidRPr="00382EE1">
        <w:rPr>
          <w:rFonts w:ascii="Tahoma" w:hAnsi="Tahoma" w:cs="Tahoma"/>
        </w:rPr>
        <w:t>Aunque todavía no se ha ratificado, el acuerdo comercial de Costa Rica con la Unión Europea plantea nuevas cuotas con aranceles preferenciales.</w:t>
      </w:r>
    </w:p>
    <w:p w:rsidR="00382EE1" w:rsidRPr="00382EE1" w:rsidRDefault="00382EE1" w:rsidP="00382EE1">
      <w:pPr>
        <w:rPr>
          <w:rFonts w:ascii="Tahoma" w:hAnsi="Tahoma" w:cs="Tahoma"/>
        </w:rPr>
      </w:pPr>
      <w:r w:rsidRPr="00382EE1">
        <w:rPr>
          <w:rFonts w:ascii="Tahoma" w:hAnsi="Tahoma" w:cs="Tahoma"/>
        </w:rPr>
        <w:lastRenderedPageBreak/>
        <w:t>De entrar en vigencia, la carne de res tendría un contingente regional libre de arancel para 9.500 TM, el arroz de 20.000 TM y el azúcar de 162.000 TM.</w:t>
      </w:r>
    </w:p>
    <w:p w:rsidR="00382EE1" w:rsidRPr="00382EE1" w:rsidRDefault="00382EE1" w:rsidP="00382EE1">
      <w:pPr>
        <w:rPr>
          <w:rFonts w:ascii="Tahoma" w:hAnsi="Tahoma" w:cs="Tahoma"/>
        </w:rPr>
      </w:pPr>
      <w:r w:rsidRPr="00382EE1">
        <w:rPr>
          <w:rFonts w:ascii="Tahoma" w:hAnsi="Tahoma" w:cs="Tahoma"/>
        </w:rPr>
        <w:t>Los TLC con China y Singapur, próximos a ratificarse, no contemplan contingentes debido a que se consideró que los productos de interés ya tenían condiciones de ingreso favorables.</w:t>
      </w:r>
    </w:p>
    <w:p w:rsidR="00382EE1" w:rsidRPr="00382EE1" w:rsidRDefault="00382EE1" w:rsidP="00382EE1">
      <w:pPr>
        <w:rPr>
          <w:rFonts w:ascii="Tahoma" w:hAnsi="Tahoma" w:cs="Tahoma"/>
        </w:rPr>
      </w:pPr>
    </w:p>
    <w:p w:rsidR="00382EE1" w:rsidRPr="00382EE1" w:rsidRDefault="00382EE1" w:rsidP="00382EE1">
      <w:pPr>
        <w:rPr>
          <w:rFonts w:ascii="Tahoma" w:hAnsi="Tahoma" w:cs="Tahoma"/>
        </w:rPr>
      </w:pPr>
    </w:p>
    <w:p w:rsidR="000D5C4E" w:rsidRDefault="000D5C4E"/>
    <w:sectPr w:rsidR="000D5C4E" w:rsidSect="005B27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83BE5"/>
    <w:multiLevelType w:val="multilevel"/>
    <w:tmpl w:val="113A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8824DC"/>
    <w:multiLevelType w:val="multilevel"/>
    <w:tmpl w:val="AB56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CC3A6F"/>
    <w:multiLevelType w:val="multilevel"/>
    <w:tmpl w:val="0242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14264B"/>
    <w:multiLevelType w:val="multilevel"/>
    <w:tmpl w:val="8A8E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757193"/>
    <w:multiLevelType w:val="multilevel"/>
    <w:tmpl w:val="D9AE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hyphenationZone w:val="425"/>
  <w:characterSpacingControl w:val="doNotCompress"/>
  <w:compat>
    <w:compatSetting w:name="compatibilityMode" w:uri="http://schemas.microsoft.com/office/word" w:val="12"/>
  </w:compat>
  <w:rsids>
    <w:rsidRoot w:val="000D5C4E"/>
    <w:rsid w:val="000D5C4E"/>
    <w:rsid w:val="000F68F9"/>
    <w:rsid w:val="0010563C"/>
    <w:rsid w:val="00382EE1"/>
    <w:rsid w:val="004A0035"/>
    <w:rsid w:val="005B2777"/>
    <w:rsid w:val="007162CD"/>
    <w:rsid w:val="00822474"/>
    <w:rsid w:val="00B421F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6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5C4E"/>
    <w:rPr>
      <w:color w:val="0000FF" w:themeColor="hyperlink"/>
      <w:u w:val="single"/>
    </w:rPr>
  </w:style>
  <w:style w:type="character" w:customStyle="1" w:styleId="accesshide1">
    <w:name w:val="accesshide1"/>
    <w:basedOn w:val="Fuentedeprrafopredeter"/>
    <w:rsid w:val="007162CD"/>
    <w:rPr>
      <w:b w:val="0"/>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5395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mmora</dc:creator>
  <cp:lastModifiedBy>Ericka Gutierrez</cp:lastModifiedBy>
  <cp:revision>2</cp:revision>
  <dcterms:created xsi:type="dcterms:W3CDTF">2013-08-13T20:32:00Z</dcterms:created>
  <dcterms:modified xsi:type="dcterms:W3CDTF">2013-08-13T20:32:00Z</dcterms:modified>
</cp:coreProperties>
</file>